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ZustV-AM (Bayern) — Zustimmungsvorbehalte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Abordnungen und Versetzungen in den oder aus dem Bereich einer anderen obersten Dienstbehörde sowie Einstellungen nach § 1 Abs. 2 Satz 2 Halbsatz 2 bedürfen der vorherigen Zustimmung des Staatsministeriums.</w:t>
      </w:r>
    </w:p>
    <w:p>
      <w:r>
        <w:t xml:space="preserve">(2) Entscheidungen nach § 3 der in § 1 Abs. 1 Nr. 2 genannten Gerichte bedürfen der vorherigen Zustimmung des vorgesetzten Gerichts.</w:t>
      </w:r>
    </w:p>
    <w:p>
      <w:r>
        <w:rPr>
          <w:color w:val="555555"/>
          <w:sz w:val="17"/>
        </w:rPr>
        <w:t xml:space="preserve">Zitiervorschlag: § 11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