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ZustLG — (zu Artikel 29)</w:t>
      </w:r>
    </w:p>
    <w:p>
      <w:r>
        <w:rPr>
          <w:color w:val="555555"/>
          <w:sz w:val="18"/>
        </w:rPr>
        <w:t xml:space="preserve">Zuständigkeitslockerungsgesetz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1975, 691 - 695</w:t>
      </w:r>
    </w:p>
    <w:p>
      <w:r>
        <w:rPr>
          <w:rFonts w:ascii="Courier New" w:hAnsi="Courier New"/>
          <w:sz w:val="17"/>
        </w:rPr>
        <w:t xml:space="preserve">1.    Erste Durchführungsverordnung zum Gesetz über die berufsmäßige Ausübung der Heilkunde ohne Bestallung vom 18. Februar 1939 (Reichsgesetzbl. I S. 259), zuletzt geändert durch Artikel 85 des Ersten Gesetzes zur Reform des Strafrechts vom 25. Juni 1969 (Bundesgesetzbl. I S. 645)</w:t>
      </w:r>
    </w:p>
    <w:p>
      <w:r>
        <w:rPr>
          <w:rFonts w:ascii="Courier New" w:hAnsi="Courier New"/>
          <w:sz w:val="17"/>
        </w:rPr>
        <w:t xml:space="preserve">1.1    § 4 Abs. 1 Satz 2    (Berufung der Mitglieder des Gutachterausschusses)</w:t>
      </w:r>
    </w:p>
    <w:p>
      <w:r>
        <w:rPr>
          <w:rFonts w:ascii="Courier New" w:hAnsi="Courier New"/>
          <w:sz w:val="17"/>
        </w:rPr>
        <w:t xml:space="preserve">1.2    § 7 Abs. 1    (Zurücknahme der Erlaubnis nach dem Heilpraktikergesetz)</w:t>
      </w:r>
    </w:p>
    <w:p>
      <w:r>
        <w:rPr>
          <w:rFonts w:ascii="Courier New" w:hAnsi="Courier New"/>
          <w:sz w:val="17"/>
        </w:rPr>
        <w:t xml:space="preserve">2.    Erste Verordnung zur Durchführung des Hebammengesetzes vom 3. März 1939 (Reichsgesetzbl. I S. 417)</w:t>
      </w:r>
    </w:p>
    <w:p>
      <w:r>
        <w:rPr>
          <w:rFonts w:ascii="Courier New" w:hAnsi="Courier New"/>
          <w:sz w:val="17"/>
        </w:rPr>
        <w:t xml:space="preserve">2.1    § 1 Abs. 1    (Staatliche Anerkennung als Hebamme)</w:t>
      </w:r>
    </w:p>
    <w:p>
      <w:r>
        <w:rPr>
          <w:rFonts w:ascii="Courier New" w:hAnsi="Courier New"/>
          <w:sz w:val="17"/>
        </w:rPr>
        <w:t xml:space="preserve">2.2    § 6 Abs. 1    (Zurücknahme der Anerkennung als Hebamme)</w:t>
      </w:r>
    </w:p>
    <w:p>
      <w:r>
        <w:rPr>
          <w:rFonts w:ascii="Courier New" w:hAnsi="Courier New"/>
          <w:sz w:val="17"/>
        </w:rPr>
        <w:t xml:space="preserve">2.3    § 7 Abs. 1 Satz 1    (Durchführung von Ermittlungen im Zusammenhang mit einer Zurücknahme der Anerkennung als Hebamme)</w:t>
      </w:r>
    </w:p>
    <w:p>
      <w:r>
        <w:rPr>
          <w:rFonts w:ascii="Courier New" w:hAnsi="Courier New"/>
          <w:sz w:val="17"/>
        </w:rPr>
        <w:t xml:space="preserve">2.4    § 11 Satz 1    (Vorläufiges Verbot der Ausübung des Hebammenberufes)</w:t>
      </w:r>
    </w:p>
    <w:p>
      <w:r>
        <w:rPr>
          <w:rFonts w:ascii="Courier New" w:hAnsi="Courier New"/>
          <w:sz w:val="17"/>
        </w:rPr>
        <w:t xml:space="preserve">3.    Verordnung über Wochenpflegerinnen vom 7. Februar 1943 (Reichsgesetzbl. I S. 87), zuletzt geändert durch Artikel 56 des Einführungsgesetzes zum Strafgesetzbuch vom 2. März 1974 (Bundesgesetzbl. I S. 469)</w:t>
      </w:r>
    </w:p>
    <w:p>
      <w:r>
        <w:rPr>
          <w:rFonts w:ascii="Courier New" w:hAnsi="Courier New"/>
          <w:sz w:val="17"/>
        </w:rPr>
        <w:t xml:space="preserve">3.1    § 1 Abs. 2    (Erteilung der Anerkennung als Wochenpflegerin)</w:t>
      </w:r>
    </w:p>
    <w:p>
      <w:r>
        <w:rPr>
          <w:rFonts w:ascii="Courier New" w:hAnsi="Courier New"/>
          <w:sz w:val="17"/>
        </w:rPr>
        <w:t xml:space="preserve">3.2    § 3 Abs. 1    (Zurücknahme der Anerkennung als Wochenpflegerin)</w:t>
      </w:r>
    </w:p>
    <w:p>
      <w:r>
        <w:rPr>
          <w:rFonts w:ascii="Courier New" w:hAnsi="Courier New"/>
          <w:sz w:val="17"/>
        </w:rPr>
        <w:t xml:space="preserve">4.    Verordnung über vitaminisierte Lebensmittel vom 1. September 1942 (Reichsgesetzbl. I S. 538)</w:t>
      </w:r>
    </w:p>
    <w:p>
      <w:r>
        <w:rPr>
          <w:rFonts w:ascii="Courier New" w:hAnsi="Courier New"/>
          <w:sz w:val="17"/>
        </w:rPr>
        <w:t xml:space="preserve">4.1    § 1 Abs. 1 Satz 1    (Anmeldung des Inverkehrbringens)</w:t>
      </w:r>
    </w:p>
    <w:p>
      <w:r>
        <w:rPr>
          <w:rFonts w:ascii="Courier New" w:hAnsi="Courier New"/>
          <w:sz w:val="17"/>
        </w:rPr>
        <w:t xml:space="preserve">5.    Verordnung über Tee und teeähnliche Erzeugnisse vom 12. Dezember 1942 (Reichsgesetzblatt I S. 707)</w:t>
      </w:r>
    </w:p>
    <w:p>
      <w:r>
        <w:rPr>
          <w:rFonts w:ascii="Courier New" w:hAnsi="Courier New"/>
          <w:sz w:val="17"/>
        </w:rPr>
        <w:t xml:space="preserve">5.1    § 2 Satz 1    (Genehmigung der Herstellung und des Inverkehrbringens teeähnlicher Erzeugnisse)</w:t>
      </w:r>
    </w:p>
    <w:p>
      <w:r>
        <w:rPr>
          <w:rFonts w:ascii="Courier New" w:hAnsi="Courier New"/>
          <w:sz w:val="17"/>
        </w:rPr>
        <w:t xml:space="preserve">6.    Verordnung zur Ausführung des Impfgesetzes vom 22. Januar 1940 (Reichsgesetzbl. I S. 214)</w:t>
      </w:r>
    </w:p>
    <w:p>
      <w:r>
        <w:rPr>
          <w:rFonts w:ascii="Courier New" w:hAnsi="Courier New"/>
          <w:sz w:val="17"/>
        </w:rPr>
        <w:t xml:space="preserve">6.1    § 6 Buchstabe b    (Veranlassung der Aufstellung der Impflisten sowie der Beschaffung der Impfscheinformulare und Zeugnisse)</w:t>
      </w:r>
    </w:p>
    <w:p>
      <w:r>
        <w:rPr>
          <w:rFonts w:ascii="Courier New" w:hAnsi="Courier New"/>
          <w:sz w:val="17"/>
        </w:rPr>
        <w:t xml:space="preserve">6.2    § 6 Buchstabe c    (Veranlassung der Bekanntgabe der Impf- und Nachschautermine, der Aufforderung zur Vorstellung der Kinder und der Ausgabe der Merkblätter)</w:t>
      </w:r>
    </w:p>
    <w:p>
      <w:r>
        <w:rPr>
          <w:rFonts w:ascii="Courier New" w:hAnsi="Courier New"/>
          <w:sz w:val="17"/>
        </w:rPr>
        <w:t xml:space="preserve">6.3    § 6 Buchstabe d    (Veranlassung der Bereitstellung und Herrichtung der Impfräume, der Entsendung eines Beauftragten und einer Schreibhilfe)</w:t>
      </w:r>
    </w:p>
    <w:p>
      <w:r>
        <w:rPr>
          <w:rFonts w:ascii="Courier New" w:hAnsi="Courier New"/>
          <w:sz w:val="17"/>
        </w:rPr>
        <w:t xml:space="preserve">6.4    § 6 Buchstabe e    (Veranlassung der Entsendung eines Lehrers zu den Impf- und Nachschauterminen für Wiederimpflinge)</w:t>
      </w:r>
    </w:p>
    <w:p>
      <w:r>
        <w:rPr>
          <w:rFonts w:ascii="Courier New" w:hAnsi="Courier New"/>
          <w:sz w:val="17"/>
        </w:rPr>
        <w:t xml:space="preserve">6.5    § 6 Buchstabe f    (Hinwirken auf eine lückenlose Durchimpfung)</w:t>
      </w:r>
    </w:p>
    <w:p>
      <w:r>
        <w:rPr>
          <w:rFonts w:ascii="Courier New" w:hAnsi="Courier New"/>
          <w:sz w:val="17"/>
        </w:rPr>
        <w:t xml:space="preserve">    - § 6 Buchstaben b bis f jeweils Ermöglichung einer Delegation der Zuständigkeit von den Stadt- und Landkreisen auf andere Behörden -</w:t>
      </w:r>
    </w:p>
    <w:p>
      <w:r>
        <w:rPr>
          <w:rFonts w:ascii="Courier New" w:hAnsi="Courier New"/>
          <w:sz w:val="17"/>
        </w:rPr>
        <w:t xml:space="preserve">6.6    § 11    (Einreichen der Impflisten)</w:t>
      </w:r>
    </w:p>
    <w:p>
      <w:r>
        <w:rPr>
          <w:rFonts w:ascii="Courier New" w:hAnsi="Courier New"/>
          <w:sz w:val="17"/>
        </w:rPr>
        <w:t xml:space="preserve">7.    Verordnung über den Anschluß von Behörden und Betrieben an den Luftschutzwarndienst vom 20. Juli 1961 (Bundesgesetzbl. I S. 1037)</w:t>
      </w:r>
    </w:p>
    <w:p>
      <w:r>
        <w:rPr>
          <w:rFonts w:ascii="Courier New" w:hAnsi="Courier New"/>
          <w:sz w:val="17"/>
        </w:rPr>
        <w:t xml:space="preserve">7.1    § 3 Abs. 1 Satz 1 Nr. 2 und 3 und Satz 2    (Mitwirkung bei der Verpflichtung von Betrieben, Dienststellen und Behörden)</w:t>
      </w:r>
    </w:p>
    <w:p>
      <w:r>
        <w:rPr>
          <w:rFonts w:ascii="Courier New" w:hAnsi="Courier New"/>
          <w:sz w:val="17"/>
        </w:rPr>
        <w:t xml:space="preserve">    - Ermöglichung einer Delegation der Zuständigkeit von den obersten Landesbehörden auf andere Behörden -</w:t>
      </w:r>
    </w:p>
    <w:p>
      <w:r>
        <w:rPr>
          <w:rFonts w:ascii="Courier New" w:hAnsi="Courier New"/>
          <w:sz w:val="17"/>
        </w:rPr>
        <w:t xml:space="preserve">8.    Verordnung zur Durchführung des Wohnungsgemeinnützigkeitsgesetzes in der Fassung der Bekanntmachung vom 24. November 1969 (Bundesgesetzbl. I S. 2141)</w:t>
      </w:r>
    </w:p>
    <w:p>
      <w:r>
        <w:rPr>
          <w:rFonts w:ascii="Courier New" w:hAnsi="Courier New"/>
          <w:sz w:val="17"/>
        </w:rPr>
        <w:t xml:space="preserve">8.1    § 10 Abs. 1    (Einvernehmen der obersten Finanzbehörde bei Erteilung einer Ausnahmebewilligung zur Betreibung anderer Geschäfte)</w:t>
      </w:r>
    </w:p>
    <w:p>
      <w:r>
        <w:rPr>
          <w:rFonts w:ascii="Courier New" w:hAnsi="Courier New"/>
          <w:sz w:val="17"/>
        </w:rPr>
        <w:t xml:space="preserve">9.    Verordnung zur Ausführung des Reichsheimstättengesetzes vom 19. Juli 1940 (Reichsgesetzbl. I S. 1027)</w:t>
      </w:r>
    </w:p>
    <w:p>
      <w:r>
        <w:rPr>
          <w:rFonts w:ascii="Courier New" w:hAnsi="Courier New"/>
          <w:sz w:val="17"/>
        </w:rPr>
        <w:t xml:space="preserve">9.1    § 53 in Verbindung mit § 52 Satz 1    (Auferlegung der Nachzahlung ersparter Steuern und Gebühren)</w:t>
      </w:r>
    </w:p>
    <w:p>
      <w:r>
        <w:rPr>
          <w:rFonts w:ascii="Courier New" w:hAnsi="Courier New"/>
          <w:sz w:val="17"/>
        </w:rPr>
        <w:t xml:space="preserve">10.    Verordnung über Kündigungsschutz und andere kleingartenrechtliche Vorschriften in der Fassung der Bekanntmachung vom 15. Dezember 1944 (Reichsgesetzbl. I S. 347), geändert durch § 7 Abs. 2 Satz 1 Nr. 4 des Gesetzes zur Änderung und Ergänzung kleingartenrechtlicher Vorschriften vom 28. Juli 1969 (Bundesgesetzbl. I S. 1013)</w:t>
      </w:r>
    </w:p>
    <w:p>
      <w:r>
        <w:rPr>
          <w:rFonts w:ascii="Courier New" w:hAnsi="Courier New"/>
          <w:sz w:val="17"/>
        </w:rPr>
        <w:t xml:space="preserve">10.1    § 1 Abs. 3 Satz 1    (Erteilung der Genehmigung zur Kündigung)</w:t>
      </w:r>
    </w:p>
    <w:p>
      <w:r>
        <w:rPr>
          <w:rFonts w:ascii="Courier New" w:hAnsi="Courier New"/>
          <w:sz w:val="17"/>
        </w:rPr>
        <w:t xml:space="preserve">10.2    § 3 Abs. 1 Sätze 2 und 3    (Genehmigung von Abreden über die Entschädigung, Festsetzung der Entschädigung und Regelung der Beschaffung von Ersatzland)</w:t>
      </w:r>
    </w:p>
    <w:p>
      <w:r>
        <w:rPr>
          <w:rFonts w:ascii="Courier New" w:hAnsi="Courier New"/>
          <w:sz w:val="17"/>
        </w:rPr>
        <w:t xml:space="preserve">10.3    § 3 Abs. 2 Satz 3    (Entscheidung im Streitfall über die Entschädigung und über die Bereitstellung von Ersatzland)</w:t>
      </w:r>
    </w:p>
    <w:p>
      <w:r>
        <w:rPr>
          <w:rFonts w:ascii="Courier New" w:hAnsi="Courier New"/>
          <w:sz w:val="17"/>
        </w:rPr>
        <w:t xml:space="preserve">10.4    § 3 Abs. 2 Satz 6    (Festsetzung eines Zuschusses zur Beschaffung von Ersatzland)</w:t>
      </w:r>
    </w:p>
    <w:p>
      <w:r>
        <w:rPr>
          <w:rFonts w:ascii="Courier New" w:hAnsi="Courier New"/>
          <w:sz w:val="17"/>
        </w:rPr>
        <w:t xml:space="preserve">10.5    § 3 Abs. 2 Satz 7    (Freistellung der Gemeinde von der Pflicht zur Beschaffung von Ersatzland)</w:t>
      </w:r>
    </w:p>
    <w:p>
      <w:r>
        <w:rPr>
          <w:rFonts w:ascii="Courier New" w:hAnsi="Courier New"/>
          <w:sz w:val="17"/>
        </w:rPr>
        <w:t xml:space="preserve">11.    Erste Verordnung zur Durchführung des Gesetzes über die Änderung von Familiennamen und Vornamen vom 7. Januar 1938 (Reichsgesetzbl. I S. 12)</w:t>
      </w:r>
    </w:p>
    <w:p>
      <w:r>
        <w:rPr>
          <w:rFonts w:ascii="Courier New" w:hAnsi="Courier New"/>
          <w:sz w:val="17"/>
        </w:rPr>
        <w:t xml:space="preserve">11.1    Artikel I § 2 Abs. 1    (Veröffentlichung des Antrags auf Änderung oder Feststellung des Familiennamens)</w:t>
      </w:r>
    </w:p>
    <w:p>
      <w:r>
        <w:rPr>
          <w:rFonts w:ascii="Courier New" w:hAnsi="Courier New"/>
          <w:sz w:val="17"/>
        </w:rPr>
        <w:t xml:space="preserve">11.2    Artikel I § 2 Abs. 2    (Veröffentlichung der Entscheidung über die Änderung oder Feststellung des Familiennamens)</w:t>
      </w:r>
    </w:p>
    <w:p>
      <w:r>
        <w:rPr>
          <w:rFonts w:ascii="Courier New" w:hAnsi="Courier New"/>
          <w:sz w:val="17"/>
        </w:rPr>
        <w:t xml:space="preserve">12.    Verordnung zum Schutze gegen Staublungenerkrankungen (Silikose) in der keramischen Industrie vom 1. September 1951 (Bundesgesetzbl. I S. 787), geändert durch die Erste Verordnung zur Änderung der Verordnung zum Schutze gegen Staublungenerkrankungen (Silikose) in der keramischen Industrie vom 31. März 1965 (Bundesgesetzbl. I S. 228)</w:t>
      </w:r>
    </w:p>
    <w:p>
      <w:r>
        <w:rPr>
          <w:rFonts w:ascii="Courier New" w:hAnsi="Courier New"/>
          <w:sz w:val="17"/>
        </w:rPr>
        <w:t xml:space="preserve">12.1    § 2    (Zulassung von Ausnahmen)</w:t>
      </w:r>
    </w:p>
    <w:p>
      <w:r>
        <w:rPr>
          <w:rFonts w:ascii="Courier New" w:hAnsi="Courier New"/>
          <w:sz w:val="17"/>
        </w:rPr>
        <w:t xml:space="preserve">    - Ermöglichung der Delegation der Zuständigkeit von den obersten Arbeitsbehörden der Länder auf andere Behörden -</w:t>
      </w:r>
    </w:p>
    <w:p>
      <w:r>
        <w:rPr>
          <w:rFonts w:ascii="Courier New" w:hAnsi="Courier New"/>
          <w:sz w:val="17"/>
        </w:rPr>
        <w:t xml:space="preserve">13.    Bekanntmachung betreffend die Einrichtung und den Betrieb der Roßhaarspinnereien, Haar- und Borstenzurichtereien sowie der Bürsten- und Pinselmachereien vom 22. Oktober 1902 (Reichsgesetzbl. S. 269)</w:t>
      </w:r>
    </w:p>
    <w:p>
      <w:r>
        <w:rPr>
          <w:rFonts w:ascii="Courier New" w:hAnsi="Courier New"/>
          <w:sz w:val="17"/>
        </w:rPr>
        <w:t xml:space="preserve">13.1    § 2 Abs. 4    (Anordnung über die Vornahme von Desinfektionen in öffentlichen Desinfektionsanstalten)</w:t>
      </w:r>
    </w:p>
    <w:p>
      <w:r>
        <w:rPr>
          <w:rFonts w:ascii="Courier New" w:hAnsi="Courier New"/>
          <w:sz w:val="17"/>
        </w:rPr>
        <w:t xml:space="preserve">13.2    § 4 Abs. 1    (Zulassung von Ausnahmen)</w:t>
      </w:r>
    </w:p>
    <w:p>
      <w:r>
        <w:rPr>
          <w:rFonts w:ascii="Courier New" w:hAnsi="Courier New"/>
          <w:sz w:val="17"/>
        </w:rPr>
        <w:t xml:space="preserve">13.3    § 4 Abs. 2 Satz 1    (Führen eines Verzeichnisses über Ausnahmen)</w:t>
      </w:r>
    </w:p>
    <w:p>
      <w:r>
        <w:rPr>
          <w:rFonts w:ascii="Courier New" w:hAnsi="Courier New"/>
          <w:sz w:val="17"/>
        </w:rPr>
        <w:t xml:space="preserve">14.    Verordnung zur Durchführung des Außenwirtschaftsgesetzes in der Fassung der Bekanntmachung vom 31. August 1973 (Bundesgesetzblatt I S. 1069), zuletzt geändert durch die Dreiunddreißigste Verordnung zur Änderung der Außenwirtschaftsverordnung vom 17. Dezember 1974 (Bundesgesetzbl. I S. 3564)</w:t>
      </w:r>
    </w:p>
    <w:p>
      <w:r>
        <w:rPr>
          <w:rFonts w:ascii="Courier New" w:hAnsi="Courier New"/>
          <w:sz w:val="17"/>
        </w:rPr>
        <w:t xml:space="preserve">14.1    § 50b Abs. 2 Satz 2    (Entgegennahme von Meldungen des Braugewerbes)</w:t>
      </w:r>
    </w:p>
    <w:p>
      <w:r>
        <w:rPr>
          <w:rFonts w:ascii="Courier New" w:hAnsi="Courier New"/>
          <w:sz w:val="17"/>
        </w:rPr>
        <w:t xml:space="preserve">15.    Zweite Verordnung zur Durchführung des Gesetzes zur Förderung der Energiewirtschaft vom 31. August 1937 (Reichsgesetzbl. I S. 918), geändert durch die Verordnung zur Änderung der Zweiten Verordnung zur Durchführung des Energiewirtschaftsgesetzes vom 24. Oktober 1966 (Bundesgesetzbl. I S. 628)</w:t>
      </w:r>
    </w:p>
    <w:p>
      <w:r>
        <w:rPr>
          <w:rFonts w:ascii="Courier New" w:hAnsi="Courier New"/>
          <w:sz w:val="17"/>
        </w:rPr>
        <w:t xml:space="preserve">15.1    § 6    (Stellung von Strafanträgen)</w:t>
      </w:r>
    </w:p>
    <w:p>
      <w:r>
        <w:rPr>
          <w:rFonts w:ascii="Courier New" w:hAnsi="Courier New"/>
          <w:sz w:val="17"/>
        </w:rPr>
        <w:t xml:space="preserve">16.    Erste Verordnung über Wasser- und Bodenverbände vom 3. September 1937 (Reichsgesetzbl. I S. 933), zuletzt geändert durch § 55 Nr. 9 des Beurkundungsgesetzes vom 28. August 1969 (Bundesgesetzbl. I S. 1513)</w:t>
      </w:r>
    </w:p>
    <w:p>
      <w:r>
        <w:rPr>
          <w:rFonts w:ascii="Courier New" w:hAnsi="Courier New"/>
          <w:sz w:val="17"/>
        </w:rPr>
        <w:t xml:space="preserve">16.1    § 3 Nr. 4    (Zulassung anderer Personen als Verbandsmitglieder)</w:t>
      </w:r>
    </w:p>
    <w:p>
      <w:r>
        <w:rPr>
          <w:rFonts w:ascii="Courier New" w:hAnsi="Courier New"/>
          <w:sz w:val="17"/>
        </w:rPr>
        <w:t xml:space="preserve">16.2    § 15 Satz 2    (Abweichende Anordnungen bei Einmannverbänden)</w:t>
      </w:r>
    </w:p>
    <w:p>
      <w:r>
        <w:rPr>
          <w:rFonts w:ascii="Courier New" w:hAnsi="Courier New"/>
          <w:sz w:val="17"/>
        </w:rPr>
        <w:t xml:space="preserve">16.3    § 32    (Zulassung der Enteignung)</w:t>
      </w:r>
    </w:p>
    <w:p>
      <w:r>
        <w:rPr>
          <w:rFonts w:ascii="Courier New" w:hAnsi="Courier New"/>
          <w:sz w:val="17"/>
        </w:rPr>
        <w:t xml:space="preserve">16.4    § 36 Satz 1    (Bestimmung des Gebietes, in dem ein aus öffentlich-rechtlichen Körperschaften bestehender Verband seine Aufgaben durchzuführen hat)</w:t>
      </w:r>
    </w:p>
    <w:p>
      <w:r>
        <w:rPr>
          <w:rFonts w:ascii="Courier New" w:hAnsi="Courier New"/>
          <w:sz w:val="17"/>
        </w:rPr>
        <w:t xml:space="preserve">16.5    § 48 Abs. 5 Satz 1    (Bestimmung, daß der Vorstand in anderer Weise gebildet wird)</w:t>
      </w:r>
    </w:p>
    <w:p>
      <w:r>
        <w:rPr>
          <w:rFonts w:ascii="Courier New" w:hAnsi="Courier New"/>
          <w:sz w:val="17"/>
        </w:rPr>
        <w:t xml:space="preserve">16.6    § 55 Abs. 2 Satz 1    (Bestimmung, daß der Ausschuß in anderer Weise gebildet wird)</w:t>
      </w:r>
    </w:p>
    <w:p>
      <w:r>
        <w:rPr>
          <w:rFonts w:ascii="Courier New" w:hAnsi="Courier New"/>
          <w:sz w:val="17"/>
        </w:rPr>
        <w:t xml:space="preserve">16.7    § 56 Abs. 6    (Genehmigung, daß das Stimmverhältnis in der Satzung anders geregelt wird)</w:t>
      </w:r>
    </w:p>
    <w:p>
      <w:r>
        <w:rPr>
          <w:rFonts w:ascii="Courier New" w:hAnsi="Courier New"/>
          <w:sz w:val="17"/>
        </w:rPr>
        <w:t xml:space="preserve">16.8    § 69 Abs. 1    (Anordnung zur Schuldübernahme und des Ersatzes der übrigen Kosten)</w:t>
      </w:r>
    </w:p>
    <w:p>
      <w:r>
        <w:rPr>
          <w:rFonts w:ascii="Courier New" w:hAnsi="Courier New"/>
          <w:sz w:val="17"/>
        </w:rPr>
        <w:t xml:space="preserve">16.9    § 76 Abs. 1 Satz 2    (Bestimmung der Prüfstelle)</w:t>
      </w:r>
    </w:p>
    <w:p>
      <w:r>
        <w:rPr>
          <w:rFonts w:ascii="Courier New" w:hAnsi="Courier New"/>
          <w:sz w:val="17"/>
        </w:rPr>
        <w:t xml:space="preserve">16.10    § 82 Abs. 2 Nr. 4    (Zustimmung zu einer abweichenden Regelung des Beitragsverhältnisses durch Satzung)</w:t>
      </w:r>
    </w:p>
    <w:p>
      <w:r>
        <w:rPr>
          <w:rFonts w:ascii="Courier New" w:hAnsi="Courier New"/>
          <w:sz w:val="17"/>
        </w:rPr>
        <w:t xml:space="preserve">16.11    § 95 Abs. 1    (Zustimmung zur Heranziehung des Nutznießers zu Geldbeiträgen)</w:t>
      </w:r>
    </w:p>
    <w:p>
      <w:r>
        <w:rPr>
          <w:rFonts w:ascii="Courier New" w:hAnsi="Courier New"/>
          <w:sz w:val="17"/>
        </w:rPr>
        <w:t xml:space="preserve">16.12    § 122 Abs. 4 Satz 1    (Zulassung von Ausnahmen von § 122 Abs. 1 für bestimmte Geschäfte)</w:t>
      </w:r>
    </w:p>
    <w:p>
      <w:r>
        <w:rPr>
          <w:rFonts w:ascii="Courier New" w:hAnsi="Courier New"/>
          <w:sz w:val="17"/>
        </w:rPr>
        <w:t xml:space="preserve">16.13    § 130 Abs. 1    (Bestellung eines Beauftragten und abweichende Regelung der Aufsicht)</w:t>
      </w:r>
    </w:p>
    <w:p>
      <w:r>
        <w:rPr>
          <w:rFonts w:ascii="Courier New" w:hAnsi="Courier New"/>
          <w:sz w:val="17"/>
        </w:rPr>
        <w:t xml:space="preserve">16.14    § 130 Abs. 3 Satz 1    (Wiederherstellung der ordentlichen Verwaltung)</w:t>
      </w:r>
    </w:p>
    <w:p>
      <w:r>
        <w:rPr>
          <w:rFonts w:ascii="Courier New" w:hAnsi="Courier New"/>
          <w:sz w:val="17"/>
        </w:rPr>
        <w:t xml:space="preserve">16.15    § 152 Abs. 1    (Gründung neuer Verbände)</w:t>
      </w:r>
    </w:p>
    <w:p>
      <w:r>
        <w:rPr>
          <w:rFonts w:ascii="Courier New" w:hAnsi="Courier New"/>
          <w:sz w:val="17"/>
        </w:rPr>
        <w:t xml:space="preserve">16.16    § 154 Buchstabe d    (Zulassung anderer Personen zur Zuziehung als Verbandsmitglied)</w:t>
      </w:r>
    </w:p>
    <w:p>
      <w:r>
        <w:rPr>
          <w:rFonts w:ascii="Courier New" w:hAnsi="Courier New"/>
          <w:sz w:val="17"/>
        </w:rPr>
        <w:t xml:space="preserve">16.17    § 156 Abs. 2    (Zulassung des Zugrundelegens vereinfachter Unterlagen bei der Verbandsgründung)</w:t>
      </w:r>
    </w:p>
    <w:p>
      <w:r>
        <w:rPr>
          <w:rFonts w:ascii="Courier New" w:hAnsi="Courier New"/>
          <w:sz w:val="17"/>
        </w:rPr>
        <w:t xml:space="preserve">16.18    § 159 Abs. 5    (Zulassung, daß Wertzahlen nicht angegeben werden)</w:t>
      </w:r>
    </w:p>
    <w:p>
      <w:r>
        <w:rPr>
          <w:rFonts w:ascii="Courier New" w:hAnsi="Courier New"/>
          <w:sz w:val="17"/>
        </w:rPr>
        <w:t xml:space="preserve">16.19    § 175 Abs. 1 Sätze 1 und 2    (Neuverteilung von Aufgaben auf bestehende und neue Verbände)</w:t>
      </w:r>
    </w:p>
    <w:p>
      <w:r>
        <w:rPr>
          <w:rFonts w:ascii="Courier New" w:hAnsi="Courier New"/>
          <w:sz w:val="17"/>
        </w:rPr>
        <w:t xml:space="preserve">16.20    § 176 Abs. 1 Satz 1    (Erlaß der neuen Satzung für einen alten Verband)</w:t>
      </w:r>
    </w:p>
    <w:p>
      <w:r>
        <w:rPr>
          <w:rFonts w:ascii="Courier New" w:hAnsi="Courier New"/>
          <w:sz w:val="17"/>
        </w:rPr>
        <w:t xml:space="preserve">16.21    § 176 Abs. 2 Satz 1    (Zulassung des Verfahrens nach den §§ 145 bis 149)</w:t>
      </w:r>
    </w:p>
    <w:p>
      <w:r>
        <w:rPr>
          <w:rFonts w:ascii="Courier New" w:hAnsi="Courier New"/>
          <w:sz w:val="17"/>
        </w:rPr>
        <w:t xml:space="preserve">16.22    § 177    (Genehmigung zur Auflösung eines Verbandes)</w:t>
      </w:r>
    </w:p>
    <w:p>
      <w:r>
        <w:rPr>
          <w:rFonts w:ascii="Courier New" w:hAnsi="Courier New"/>
          <w:sz w:val="17"/>
        </w:rPr>
        <w:t xml:space="preserve">    - Hinsichtlich § 3 Nr. 4, § 15 Satz 2, § 36 Satz 1, § 76 Abs. 1 Satz 2, § 122 Abs. 4 Satz 1, § 154 Buchstabe d, § 156 Abs. 2, § 159 Abs. 5, § 176 Abs. 2 Satz 1 und § 177: Ermöglichung der Delegation der Zuständigkeit auf die oberen Aufsichtsbehörden -</w:t>
      </w:r>
    </w:p>
    <w:p>
      <w:r>
        <w:rPr>
          <w:rFonts w:ascii="Courier New" w:hAnsi="Courier New"/>
          <w:sz w:val="17"/>
        </w:rPr>
        <w:t xml:space="preserve">    - Hinsichtlich §§ 32, 48 Abs. 5 Satz 1, § 55 Abs. 2 Satz 1, § 56 Abs. 6, § 69 Abs. 1, § 82 Abs. 2 Nr. 4, § 95 Abs. 1, § 130 Abs. 1 und 3 Satz 1, § 152 Abs. 1, § 175 Abs. 1 Satz 1 und 2 und § 176 Abs. 1 Satz 1: Ermöglichung der Delegation der Zuständigkeit auf die Aufsichtsbehörden. Dies gilt nicht, wenn die Körperschaft, für deren Gebiet die Aufsichtsbehörde zuständig ist, Mitglied des Wasser- und Bodenverbands oder sonst betroffen ist -</w:t>
      </w:r>
    </w:p>
    <w:p>
      <w:r>
        <w:rPr>
          <w:rFonts w:ascii="Courier New" w:hAnsi="Courier New"/>
          <w:sz w:val="17"/>
        </w:rPr>
        <w:t xml:space="preserve">17.    Verordnung zur Bekämpfung der Bisamratte vom 1. Juli 1938 (Reichsgesetzbl. I S. 847)</w:t>
      </w:r>
    </w:p>
    <w:p>
      <w:r>
        <w:rPr>
          <w:rFonts w:ascii="Courier New" w:hAnsi="Courier New"/>
          <w:sz w:val="17"/>
        </w:rPr>
        <w:t xml:space="preserve">17.1    § 3 Abs. 2    (Ermächtigung zur Anordnung bestimmter Maßnahmen zur Bekämpfung der Bisamratte)</w:t>
      </w:r>
    </w:p>
    <w:p>
      <w:r>
        <w:rPr>
          <w:rFonts w:ascii="Courier New" w:hAnsi="Courier New"/>
          <w:sz w:val="17"/>
        </w:rPr>
        <w:t xml:space="preserve">    - Ermöglichung der Delegation der Zuständigkeit von den unteren Verwaltungsbehörden auf andere Behörden -</w:t>
      </w:r>
    </w:p>
    <w:p>
      <w:r>
        <w:rPr>
          <w:rFonts w:ascii="Courier New" w:hAnsi="Courier New"/>
          <w:sz w:val="17"/>
        </w:rPr>
        <w:t xml:space="preserve">18.    Ausführungsvorschriften des Bundesrats zum Viehseuchengesetze vom 7. Dezember 1911 (Reichsgesetzbl. 1912 S. 3), zuletzt geändert durch § 27 Abs. 3 Nr. 1 der Verordnung über Sera und Impfstoffe nach § 17c des Viehseuchengesetzes vom 27. Februar 1973 (Bundesgesetzbl. I S. 134)</w:t>
      </w:r>
    </w:p>
    <w:p>
      <w:r>
        <w:rPr>
          <w:rFonts w:ascii="Courier New" w:hAnsi="Courier New"/>
          <w:sz w:val="17"/>
        </w:rPr>
        <w:t xml:space="preserve">18.1    § 6 Abs. 1 Satz 3    (Bestimmung der der Beaufsichtigung unterliegenden Gastställe)</w:t>
      </w:r>
    </w:p>
    <w:p>
      <w:r>
        <w:rPr>
          <w:rFonts w:ascii="Courier New" w:hAnsi="Courier New"/>
          <w:sz w:val="17"/>
        </w:rPr>
        <w:t xml:space="preserve">18.2    § 6 Abs. 2    (Befreiung der Jahr- und Wochenmärkte, Tierschauen und Viehhändlerställe von der Beaufsichtigung)</w:t>
      </w:r>
    </w:p>
    <w:p>
      <w:r>
        <w:rPr>
          <w:rFonts w:ascii="Courier New" w:hAnsi="Courier New"/>
          <w:sz w:val="17"/>
        </w:rPr>
        <w:t xml:space="preserve">18.3    § 6 Abs. 3    (Anordnung der Beaufsichtigung von Vieh)</w:t>
      </w:r>
    </w:p>
    <w:p>
      <w:r>
        <w:rPr>
          <w:rFonts w:ascii="Courier New" w:hAnsi="Courier New"/>
          <w:sz w:val="17"/>
        </w:rPr>
        <w:t xml:space="preserve">18.4    § 9    (Anordnung von Ver- und Endladeuntersuchungen)</w:t>
      </w:r>
    </w:p>
    <w:p>
      <w:r>
        <w:rPr>
          <w:rFonts w:ascii="Courier New" w:hAnsi="Courier New"/>
          <w:sz w:val="17"/>
        </w:rPr>
        <w:t xml:space="preserve">18.5    § 11 Abs. 1 Satz 2    (Gestattung des Viehtreibens durch Viehhändler)</w:t>
      </w:r>
    </w:p>
    <w:p>
      <w:r>
        <w:rPr>
          <w:rFonts w:ascii="Courier New" w:hAnsi="Courier New"/>
          <w:sz w:val="17"/>
        </w:rPr>
        <w:t xml:space="preserve">18.6    § 11 Abs. 2    (Verbot des Viehtreibens durch Viehhändler)</w:t>
      </w:r>
    </w:p>
    <w:p>
      <w:r>
        <w:rPr>
          <w:rFonts w:ascii="Courier New" w:hAnsi="Courier New"/>
          <w:sz w:val="17"/>
        </w:rPr>
        <w:t xml:space="preserve">18.7    § 13 Abs. 3    (Bestimmung des Führens von Büchern)</w:t>
      </w:r>
    </w:p>
    <w:p>
      <w:r>
        <w:rPr>
          <w:rFonts w:ascii="Courier New" w:hAnsi="Courier New"/>
          <w:sz w:val="17"/>
        </w:rPr>
        <w:t xml:space="preserve">18.8    § 13 Abs. 4    (Ausnahmegenehmigung vom Führen von Büchern)</w:t>
      </w:r>
    </w:p>
    <w:p>
      <w:r>
        <w:rPr>
          <w:rFonts w:ascii="Courier New" w:hAnsi="Courier New"/>
          <w:sz w:val="17"/>
        </w:rPr>
        <w:t xml:space="preserve">18.9    § 14 Satz 1    (Ausdehnung der Bestimmungen über das Führen von Büchern bei Wanderschafherden auf Wanderherden anderer Viehgattungen)</w:t>
      </w:r>
    </w:p>
    <w:p>
      <w:r>
        <w:rPr>
          <w:rFonts w:ascii="Courier New" w:hAnsi="Courier New"/>
          <w:sz w:val="17"/>
        </w:rPr>
        <w:t xml:space="preserve">18.10    § 14 Satz 2    (Anordnung der amtstierärztlichen Untersuchung von Wanderherden)</w:t>
      </w:r>
    </w:p>
    <w:p>
      <w:r>
        <w:rPr>
          <w:rFonts w:ascii="Courier New" w:hAnsi="Courier New"/>
          <w:sz w:val="17"/>
        </w:rPr>
        <w:t xml:space="preserve">18.11    § 17 Abs. 1 Satz 2 und Abs. 2 Satz 3    (Bestimmung der Geltungsdauer von Ursprungs- und Gesundheitszeugnissen)</w:t>
      </w:r>
    </w:p>
    <w:p>
      <w:r>
        <w:rPr>
          <w:rFonts w:ascii="Courier New" w:hAnsi="Courier New"/>
          <w:sz w:val="17"/>
        </w:rPr>
        <w:t xml:space="preserve">18.12    § 24    (Einführung der Kennzeichnungspflicht für Rinder und Schweine)</w:t>
      </w:r>
    </w:p>
    <w:p>
      <w:r>
        <w:rPr>
          <w:rFonts w:ascii="Courier New" w:hAnsi="Courier New"/>
          <w:sz w:val="17"/>
        </w:rPr>
        <w:t xml:space="preserve">18.13    § 37 Abs. 2    (Zulassung von Ausnahmen für Viehladestellen)</w:t>
      </w:r>
    </w:p>
    <w:p>
      <w:r>
        <w:rPr>
          <w:rFonts w:ascii="Courier New" w:hAnsi="Courier New"/>
          <w:sz w:val="17"/>
        </w:rPr>
        <w:t xml:space="preserve">18.14    § 38 Abs. 2 Satz 2 und § 39    (Anordnung der Reinigung und Desinfektion im Transportwesen)</w:t>
      </w:r>
    </w:p>
    <w:p>
      <w:r>
        <w:rPr>
          <w:rFonts w:ascii="Courier New" w:hAnsi="Courier New"/>
          <w:sz w:val="17"/>
        </w:rPr>
        <w:t xml:space="preserve">18.15    § 104 Abs. 1 Satz 1    (Anordnung der Impfung der für Milzbrand empfänglichen Tiere)</w:t>
      </w:r>
    </w:p>
    <w:p>
      <w:r>
        <w:rPr>
          <w:rFonts w:ascii="Courier New" w:hAnsi="Courier New"/>
          <w:sz w:val="17"/>
        </w:rPr>
        <w:t xml:space="preserve">18.16    § 146 Abs. 4 Satz 1    (Genehmigung der Zustellung gesunder Pferde zu rotzansteckungsverdächtigen Pferden)</w:t>
      </w:r>
    </w:p>
    <w:p>
      <w:r>
        <w:rPr>
          <w:rFonts w:ascii="Courier New" w:hAnsi="Courier New"/>
          <w:sz w:val="17"/>
        </w:rPr>
        <w:t xml:space="preserve">18.17    § 150    (Anordnung der Tötung von rotzansteckungsverdächtigen Pferden)</w:t>
      </w:r>
    </w:p>
    <w:p>
      <w:r>
        <w:rPr>
          <w:rFonts w:ascii="Courier New" w:hAnsi="Courier New"/>
          <w:sz w:val="17"/>
        </w:rPr>
        <w:t xml:space="preserve">18.18    § 155 Abs. 3    (Genehmigung, daß von den bei Ausbruch der Maul- und Klauenseuche vorgeschriebenen Ermittlungen und Untersuchungen abgesehen wird)</w:t>
      </w:r>
    </w:p>
    <w:p>
      <w:r>
        <w:rPr>
          <w:rFonts w:ascii="Courier New" w:hAnsi="Courier New"/>
          <w:sz w:val="17"/>
        </w:rPr>
        <w:t xml:space="preserve">18.19    § 162 Abs. 1 Satz 2    (Zulassung von Ausnahmen)</w:t>
      </w:r>
    </w:p>
    <w:p>
      <w:r>
        <w:rPr>
          <w:rFonts w:ascii="Courier New" w:hAnsi="Courier New"/>
          <w:sz w:val="17"/>
        </w:rPr>
        <w:t xml:space="preserve">18.20    § 183 Abs. 2    (Anordnung der Tötung der Ansteckung mit Lungenseuche verdächtiger Tiere)</w:t>
      </w:r>
    </w:p>
    <w:p>
      <w:r>
        <w:rPr>
          <w:rFonts w:ascii="Courier New" w:hAnsi="Courier New"/>
          <w:sz w:val="17"/>
        </w:rPr>
        <w:t xml:space="preserve">18.21    § 184 Abs. 1 Satz 2    (Zulassung der Schlachtung der lungenseuchenkranken oder -verdächtigen Tiere außerhalb des Seuchenortes)</w:t>
      </w:r>
    </w:p>
    <w:p>
      <w:r>
        <w:rPr>
          <w:rFonts w:ascii="Courier New" w:hAnsi="Courier New"/>
          <w:sz w:val="17"/>
        </w:rPr>
        <w:t xml:space="preserve">18.22    § 187 Satz 2    (Zulassung von Ausnahmen vom Verbot der Einstellung gesunder Rinder in das Seuchengehöft)</w:t>
      </w:r>
    </w:p>
    <w:p>
      <w:r>
        <w:rPr>
          <w:rFonts w:ascii="Courier New" w:hAnsi="Courier New"/>
          <w:sz w:val="17"/>
        </w:rPr>
        <w:t xml:space="preserve">18.23    § 194 Abs. 1 Halbsatz 1    (Bildung von Beobachtungsgebieten um das Seuchengehöft)</w:t>
      </w:r>
    </w:p>
    <w:p>
      <w:r>
        <w:rPr>
          <w:rFonts w:ascii="Courier New" w:hAnsi="Courier New"/>
          <w:sz w:val="17"/>
        </w:rPr>
        <w:t xml:space="preserve">18.24    § 194 Abs. 3 Satz 1    (Beschränkung des Viehverkehrs in Beobachtungsgebieten)</w:t>
      </w:r>
    </w:p>
    <w:p>
      <w:r>
        <w:rPr>
          <w:rFonts w:ascii="Courier New" w:hAnsi="Courier New"/>
          <w:sz w:val="17"/>
        </w:rPr>
        <w:t xml:space="preserve">18.25    § 236 Abs. 1    (Anordnung bei größerer Ausdehnung der Beschälseuche der Pferde)</w:t>
      </w:r>
    </w:p>
    <w:p>
      <w:r>
        <w:rPr>
          <w:rFonts w:ascii="Courier New" w:hAnsi="Courier New"/>
          <w:sz w:val="17"/>
        </w:rPr>
        <w:t xml:space="preserve">19.    Viehseuchenpolizeiliche Anordnung über die Bekämpfung der ansteckenden Blutarmut der Einhufer vom 8. März 1940 (Reichsanzeiger Nr. 62)</w:t>
      </w:r>
    </w:p>
    <w:p>
      <w:r>
        <w:rPr>
          <w:rFonts w:ascii="Courier New" w:hAnsi="Courier New"/>
          <w:sz w:val="17"/>
        </w:rPr>
        <w:t xml:space="preserve">19.1    § 7 Abs. 3    (Genehmigung der Ausfuhr ansteckungsverdächtiger Einhufer aus einem verseuchten Gehöft)</w:t>
      </w:r>
    </w:p>
    <w:p>
      <w:r>
        <w:rPr>
          <w:rFonts w:ascii="Courier New" w:hAnsi="Courier New"/>
          <w:sz w:val="17"/>
        </w:rPr>
        <w:t xml:space="preserve">19.2    § 8 Satz 1    (Genehmigung der Einfuhr von Einhufern in ein Seuchengehöft)</w:t>
      </w:r>
    </w:p>
    <w:p>
      <w:r>
        <w:rPr>
          <w:rFonts w:ascii="Courier New" w:hAnsi="Courier New"/>
          <w:sz w:val="17"/>
        </w:rPr>
        <w:t xml:space="preserve">19.3    § 12 Satz 1    (Anordnung von Schutzmaßnahmen)</w:t>
      </w:r>
    </w:p>
    <w:p>
      <w:r>
        <w:rPr>
          <w:rFonts w:ascii="Courier New" w:hAnsi="Courier New"/>
          <w:sz w:val="17"/>
        </w:rPr>
        <w:t xml:space="preserve">19.4    § 13 Abs. 1 und Abs. 2 Satz 1    (Anordnung von Schutzmaßnahmen)</w:t>
      </w:r>
    </w:p>
    <w:p>
      <w:r>
        <w:rPr>
          <w:rFonts w:ascii="Courier New" w:hAnsi="Courier New"/>
          <w:sz w:val="17"/>
        </w:rPr>
        <w:t xml:space="preserve">19.5    § 17 Abs. 4    (Genehmigung der Wiedereinstellung gesunder Einhufer in Seuchengehöfte)</w:t>
      </w:r>
    </w:p>
    <w:p>
      <w:r>
        <w:rPr>
          <w:rFonts w:ascii="Courier New" w:hAnsi="Courier New"/>
          <w:sz w:val="17"/>
        </w:rPr>
        <w:t xml:space="preserve">    - Jeweils Ermöglichung der Delegation der Zuständigkeit von den höheren Verwaltungsbehörden auf andere Behörden -</w:t>
      </w:r>
    </w:p>
    <w:p>
      <w:r>
        <w:rPr>
          <w:rFonts w:ascii="Courier New" w:hAnsi="Courier New"/>
          <w:sz w:val="17"/>
        </w:rPr>
        <w:t xml:space="preserve">20.    Erste Durchführungsverordnung zum Tierkörperbeseitigungsgesetz vom 23. Februar 1939 (Reichsgesetzbl. I S. 332)</w:t>
      </w:r>
    </w:p>
    <w:p>
      <w:r>
        <w:rPr>
          <w:rFonts w:ascii="Courier New" w:hAnsi="Courier New"/>
          <w:sz w:val="17"/>
        </w:rPr>
        <w:t xml:space="preserve">20.1    § 4 Abs. 3 Satz 1    (Genehmigung der Abgabe von Fleisch zu Futterzwecken)</w:t>
      </w:r>
    </w:p>
    <w:p>
      <w:r>
        <w:rPr>
          <w:rFonts w:ascii="Courier New" w:hAnsi="Courier New"/>
          <w:sz w:val="17"/>
        </w:rPr>
        <w:t xml:space="preserve">20.2    § 4 Abs. 4    (Genehmigungsvorbehalt)</w:t>
      </w:r>
    </w:p>
    <w:p>
      <w:r>
        <w:rPr>
          <w:rFonts w:ascii="Courier New" w:hAnsi="Courier New"/>
          <w:sz w:val="17"/>
        </w:rPr>
        <w:t xml:space="preserve">21.    Verordnung über die Durchführung des Fleischbeschaugesetzes vom 1. November 1940 (Reichsministerialblatt S. 289, 1941 S. 9), zuletzt geändert durch Artikel 214 des Einführungsgesetzes zum Strafgesetzbuch vom 2. März 1974 (Bundesgesetzbl. I S. 469)</w:t>
      </w:r>
    </w:p>
    <w:p>
      <w:r>
        <w:rPr>
          <w:rFonts w:ascii="Courier New" w:hAnsi="Courier New"/>
          <w:sz w:val="17"/>
        </w:rPr>
        <w:t xml:space="preserve">21.1    § 8 Abs. 3 Satz 2    (Zustimmung zur Übertragung der Schlachttier- und Fleischbeschau in öffentlichen Schlachthäusern auf Fleischbeschauer)</w:t>
      </w:r>
    </w:p>
    <w:p>
      <w:r>
        <w:rPr>
          <w:rFonts w:ascii="Courier New" w:hAnsi="Courier New"/>
          <w:sz w:val="17"/>
        </w:rPr>
        <w:t xml:space="preserve">21.2    § 8 Abs. 4    (Zustimmung zur Ausnahmeregelung bei der Übertragung der Beschau)</w:t>
      </w:r>
    </w:p>
    <w:p>
      <w:r>
        <w:rPr>
          <w:rFonts w:ascii="Courier New" w:hAnsi="Courier New"/>
          <w:sz w:val="17"/>
        </w:rPr>
        <w:t xml:space="preserve">21.3    § 21 Abs. 1    (Zulassung von bakteriologischen Untersuchungsstellen)</w:t>
      </w:r>
    </w:p>
    <w:p>
      <w:r>
        <w:rPr>
          <w:rFonts w:ascii="Courier New" w:hAnsi="Courier New"/>
          <w:sz w:val="17"/>
        </w:rPr>
        <w:t xml:space="preserve">21.4    § 21 Abs. 6    (Zulassung des Institutsleiters zur Ausbildung in der bakteriologischen Fleischuntersuchung)</w:t>
      </w:r>
    </w:p>
    <w:p>
      <w:r>
        <w:rPr>
          <w:rFonts w:ascii="Courier New" w:hAnsi="Courier New"/>
          <w:sz w:val="17"/>
        </w:rPr>
        <w:t xml:space="preserve">21.5    § 23    (Zustimmung zur Beauftragung von Sachverständigen in der Auslandsfleischbeschau)</w:t>
      </w:r>
    </w:p>
    <w:p>
      <w:r>
        <w:rPr>
          <w:rFonts w:ascii="Courier New" w:hAnsi="Courier New"/>
          <w:sz w:val="17"/>
        </w:rPr>
        <w:t xml:space="preserve">21.6    § 25    (Festsetzung von Untersuchungstagen)</w:t>
      </w:r>
    </w:p>
    <w:p>
      <w:r>
        <w:rPr>
          <w:rFonts w:ascii="Courier New" w:hAnsi="Courier New"/>
          <w:sz w:val="17"/>
        </w:rPr>
        <w:t xml:space="preserve">    - Jeweils Ermöglichung der Delegation der Zuständigkeit von den höheren Verwaltungsbehörden auf andere Behörden -</w:t>
      </w:r>
    </w:p>
    <w:p>
      <w:r>
        <w:rPr>
          <w:rFonts w:ascii="Courier New" w:hAnsi="Courier New"/>
          <w:sz w:val="17"/>
        </w:rPr>
        <w:t xml:space="preserve">22.    Ausführungsbestimmungen A über die Untersuchung und gesundheitspolizeiliche Behandlung der Schlachttiere und des Fleisches bei Schlachtungen im Inland - AB.A -, Beilage 1 zur Verordnung über die Durchführung des Fleischbeschaugesetzes vom 1. November 1940 (Reichsministerialblatt S. 289, 1941 S. 9), zuletzt geändert durch Verordnung zur Änderung der Ausführungsbestimmungen A über die Untersuchung und gesundheitspolizeiliche Behandlung der Schlachttiere und des Fleisches bei Schlachtungen im Inland vom 18. Dezember 1973 (Bundesgesetzbl. 1974 I S. 18, 1193)</w:t>
      </w:r>
    </w:p>
    <w:p>
      <w:r>
        <w:rPr>
          <w:rFonts w:ascii="Courier New" w:hAnsi="Courier New"/>
          <w:sz w:val="17"/>
        </w:rPr>
        <w:t xml:space="preserve">22.1.    § 37 Abs. 3 Satz 2    (Genehmigung zur Durchführung der Trichinenschau außerhalb des Betriebs oder Gehöftes der Schlachtung)</w:t>
      </w:r>
    </w:p>
    <w:p>
      <w:r>
        <w:rPr>
          <w:rFonts w:ascii="Courier New" w:hAnsi="Courier New"/>
          <w:sz w:val="17"/>
        </w:rPr>
        <w:t xml:space="preserve">22.2    § 46 Abs. 3    (Festsetzung von geringeren Höchstuntersuchungszahlen für Trichinenschau in weitläufigen ländlichen Beschaubezirken)</w:t>
      </w:r>
    </w:p>
    <w:p>
      <w:r>
        <w:rPr>
          <w:rFonts w:ascii="Courier New" w:hAnsi="Courier New"/>
          <w:sz w:val="17"/>
        </w:rPr>
        <w:t xml:space="preserve">22.3    § 53 Abs. 6 Satz 1 und Abs. 7 Satz 1    (Zulassung einer abweichenden Führung des Fleischbeschautagebuches)</w:t>
      </w:r>
    </w:p>
    <w:p>
      <w:r>
        <w:rPr>
          <w:rFonts w:ascii="Courier New" w:hAnsi="Courier New"/>
          <w:sz w:val="17"/>
        </w:rPr>
        <w:t xml:space="preserve">22.4    § 54 Abs. 3 Satz 1    (Fachliche Aufsicht über die Fleischbeschautierärzte)</w:t>
      </w:r>
    </w:p>
    <w:p>
      <w:r>
        <w:rPr>
          <w:rFonts w:ascii="Courier New" w:hAnsi="Courier New"/>
          <w:sz w:val="17"/>
        </w:rPr>
        <w:t xml:space="preserve">23.    Ausführungsbestimmungen B über die Ausbildung, die Prüfung und die Fortbildung in der Fleischbeschau und Trichinenschau - AB.B -, Beilage 2 zur Verordnung über die Durchführung des Fleischbeschaugesetzes vom 1. November 1940 (Reichsministerialblatt S. 289, 1941 S. 9), zuletzt geändert durch Artikel 1 Nr. 12 der Verordnung zur Änderung der Verordnung über die Durchführung des Fleischbeschaugesetzes vom 27. Dezember 1968 (Bundesgesetzbl. 1969 I S. 6)</w:t>
      </w:r>
    </w:p>
    <w:p>
      <w:r>
        <w:rPr>
          <w:rFonts w:ascii="Courier New" w:hAnsi="Courier New"/>
          <w:sz w:val="17"/>
        </w:rPr>
        <w:t xml:space="preserve">23.1    § 2 Abs. 1    (Bestellung des Prüfungsausschusses für Fleischbeschauer)</w:t>
      </w:r>
    </w:p>
    <w:p>
      <w:r>
        <w:rPr>
          <w:rFonts w:ascii="Courier New" w:hAnsi="Courier New"/>
          <w:sz w:val="17"/>
        </w:rPr>
        <w:t xml:space="preserve">23.2    § 3 Abs. 1    (Zulassung von öffentlichen Schlachthäusern zur Ausbildung von Fleischbeschauern)</w:t>
      </w:r>
    </w:p>
    <w:p>
      <w:r>
        <w:rPr>
          <w:rFonts w:ascii="Courier New" w:hAnsi="Courier New"/>
          <w:sz w:val="17"/>
        </w:rPr>
        <w:t xml:space="preserve">23.3    § 3 Abs. 2 Satz 2    (Zustimmung zur Bestellung des Lehrgangsleiters für die Ausbildung als Fleischbeschauer)</w:t>
      </w:r>
    </w:p>
    <w:p>
      <w:r>
        <w:rPr>
          <w:rFonts w:ascii="Courier New" w:hAnsi="Courier New"/>
          <w:sz w:val="17"/>
        </w:rPr>
        <w:t xml:space="preserve">23.4    § 3 Abs. 3 Satz 2    (Zustimmung zur Zulassung älterer Bewerber zur Ausbildung als Fleischbeschauer)</w:t>
      </w:r>
    </w:p>
    <w:p>
      <w:r>
        <w:rPr>
          <w:rFonts w:ascii="Courier New" w:hAnsi="Courier New"/>
          <w:sz w:val="17"/>
        </w:rPr>
        <w:t xml:space="preserve">23.5    § 12 Abs. 1    (Bestimmung der Prüfungsstelle für Trichinenschauer)</w:t>
      </w:r>
    </w:p>
    <w:p>
      <w:r>
        <w:rPr>
          <w:rFonts w:ascii="Courier New" w:hAnsi="Courier New"/>
          <w:sz w:val="17"/>
        </w:rPr>
        <w:t xml:space="preserve">23.6    § 19 Abs. 2 Satz 1    (Festsetzung der Fortbildungslehrgänge für Fleischbeschautierärzte)</w:t>
      </w:r>
    </w:p>
    <w:p>
      <w:r>
        <w:rPr>
          <w:rFonts w:ascii="Courier New" w:hAnsi="Courier New"/>
          <w:sz w:val="17"/>
        </w:rPr>
        <w:t xml:space="preserve">23.7    § 19 Abs. 2 Satz 3    (Bestimmung des Lehrgangsleiters für Fortbildungslehrgänge)</w:t>
      </w:r>
    </w:p>
    <w:p>
      <w:r>
        <w:rPr>
          <w:rFonts w:ascii="Courier New" w:hAnsi="Courier New"/>
          <w:sz w:val="17"/>
        </w:rPr>
        <w:t xml:space="preserve">    - Jeweils Ermöglichung der Delegation der Zuständigkeit von den höheren Verwaltungsbehörden auf andere Behörden -</w:t>
      </w:r>
    </w:p>
    <w:p>
      <w:r>
        <w:rPr>
          <w:rFonts w:ascii="Courier New" w:hAnsi="Courier New"/>
          <w:sz w:val="17"/>
        </w:rPr>
        <w:t xml:space="preserve">24.    Erste Verordnung zur Ausführung des Milchgesetzes vom 15. Mai 1931 (Reichsgesetzbl. I S. 150), zuletzt geändert durch die Verordnung über Ausnahmen von der Wartezeit nach § 15 Abs. 2 Satz 2 des Lebensmittel- und Bedarfsgegenständegesetzes vom 2. Januar 1975 (Bundesgesetzbl. I S. 124)</w:t>
      </w:r>
    </w:p>
    <w:p>
      <w:r>
        <w:rPr>
          <w:rFonts w:ascii="Courier New" w:hAnsi="Courier New"/>
          <w:sz w:val="17"/>
        </w:rPr>
        <w:t xml:space="preserve">24.1    § 14 Abs. 2    (Zulassung von Ausnahmen)</w:t>
      </w:r>
    </w:p>
    <w:p>
      <w:r>
        <w:rPr>
          <w:rFonts w:ascii="Courier New" w:hAnsi="Courier New"/>
          <w:sz w:val="17"/>
        </w:rPr>
        <w:t xml:space="preserve">24.2    § 20 Satz 2    (Bestimmung der Voraussetzungen für Abmelkbetriebe)</w:t>
      </w:r>
    </w:p>
    <w:p>
      <w:r>
        <w:rPr>
          <w:rFonts w:ascii="Courier New" w:hAnsi="Courier New"/>
          <w:sz w:val="17"/>
        </w:rPr>
        <w:t xml:space="preserve">25.    Bekanntmachung über fetthaltige Zubereitungen vom 26. Juni 1916 (Reichsgesetzbl. S. 589), zuletzt geändert durch Artikel 223 des Einführungsgesetzes zum Strafgesetzbuch vom 2. März 1974 (Bundesgesetzbl. I S. 469)</w:t>
      </w:r>
    </w:p>
    <w:p>
      <w:r>
        <w:rPr>
          <w:rFonts w:ascii="Courier New" w:hAnsi="Courier New"/>
          <w:sz w:val="17"/>
        </w:rPr>
        <w:t xml:space="preserve">25.1    § 1 Abs. 3    (Zulassung von Ausnahmen)</w:t>
      </w:r>
    </w:p>
    <w:p>
      <w:r>
        <w:rPr>
          <w:rFonts w:ascii="Courier New" w:hAnsi="Courier New"/>
          <w:sz w:val="17"/>
        </w:rPr>
        <w:t xml:space="preserve">26.    Bestimmungen über Heimarbeit in der Tabakindustrie vom 17. November 1913 (Reichsgesetzbl. S. 751), zuletzt geändert durch § 4 der Verordnung zur Durchführung des Gesetzes über die Heimarbeit vom 23. März 1934 (Reichsgesetzbl. I S. 225)</w:t>
      </w:r>
    </w:p>
    <w:p>
      <w:r>
        <w:rPr>
          <w:rFonts w:ascii="Courier New" w:hAnsi="Courier New"/>
          <w:sz w:val="17"/>
        </w:rPr>
        <w:t xml:space="preserve">26.1    §§ 11, 12 Satz 1    (Zulassung von Ausnahmen von den Anforderungen für Arbeitsräume)</w:t>
      </w:r>
    </w:p>
    <w:p>
      <w:r>
        <w:rPr>
          <w:rFonts w:ascii="Courier New" w:hAnsi="Courier New"/>
          <w:sz w:val="17"/>
        </w:rPr>
        <w:t xml:space="preserve">27.    Ausführungsverordnung zur Arbeitszeitordnung vom 12. Dezember 1938 (Reichsgesetzblatt I S. 1799), zuletzt geändert durch Artikel 2 Nr. 1 der Verordnung über Beschäftigungszeiten im Straßenverkehr vom 28. Oktober 1971 (Bundesgesetzbl. I S. 1729)</w:t>
      </w:r>
    </w:p>
    <w:p>
      <w:r>
        <w:rPr>
          <w:rFonts w:ascii="Courier New" w:hAnsi="Courier New"/>
          <w:sz w:val="17"/>
        </w:rPr>
        <w:t xml:space="preserve">27.1    Nummer 47 Satz 3    (Bestimmung der Bade - und Ausflugsorte sowie der Saisonzeiten)</w:t>
      </w:r>
    </w:p>
    <w:p>
      <w:r>
        <w:rPr>
          <w:rFonts w:ascii="Courier New" w:hAnsi="Courier New"/>
          <w:sz w:val="17"/>
        </w:rPr>
        <w:t xml:space="preserve">28.    Verordnung zur Durchführung des Gesetzes über die Arbeitszeit in Bäckereien und Konditoreien vom 30. Juni 1936 (Reichsgesetzbl. I S. 527), zuletzt geändert durch Artikel 2 Nr. 3 der Verordnung über Beschäftigungszeiten im Straßenverkehr vom 28. Oktober 1971 (Bundesgesetzbl. I S. 1729)</w:t>
      </w:r>
    </w:p>
    <w:p>
      <w:r>
        <w:rPr>
          <w:rFonts w:ascii="Courier New" w:hAnsi="Courier New"/>
          <w:sz w:val="17"/>
        </w:rPr>
        <w:t xml:space="preserve">28.1    Artikel 2 Abs. 1 Satz 1    (Festsetzung der Zeiten für die Herstellung, das Austragen oder Ausfahren von leichtverderblichen Waren an Sonntagen)</w:t>
      </w:r>
    </w:p>
    <w:p>
      <w:r>
        <w:rPr>
          <w:rFonts w:ascii="Courier New" w:hAnsi="Courier New"/>
          <w:sz w:val="17"/>
        </w:rPr>
        <w:t xml:space="preserve">29.    Bekanntmachung betreffend die Beschäftigung jugendlicher Arbeiter bei der Bearbeitung von Faserstoffen, Tierhaaren, Abfällen oder Lumpen vom 8. Dezember 1909 (Reichsgesetzbl. S. 969)</w:t>
      </w:r>
    </w:p>
    <w:p>
      <w:r>
        <w:rPr>
          <w:rFonts w:ascii="Courier New" w:hAnsi="Courier New"/>
          <w:sz w:val="17"/>
        </w:rPr>
        <w:t xml:space="preserve">29.1    Abschnitt II Abs. 2    (Zulassung von Ausnahmen)</w:t>
      </w:r>
    </w:p>
    <w:p>
      <w:r>
        <w:rPr>
          <w:rFonts w:ascii="Courier New" w:hAnsi="Courier New"/>
          <w:sz w:val="17"/>
        </w:rPr>
        <w:t xml:space="preserve">30.    Straßenverkehrs-Zulassungs-Ordnung in der Fassung der Bekanntmachung vom 15. November 1974 (Bundesgesetzbl. I S. 3193)</w:t>
      </w:r>
    </w:p>
    <w:p>
      <w:r>
        <w:rPr>
          <w:rFonts w:ascii="Courier New" w:hAnsi="Courier New"/>
          <w:sz w:val="17"/>
        </w:rPr>
        <w:t xml:space="preserve">30.1    § 70 Abs. 1 Nr. 1    (Zulassung von Ausnahmen)</w:t>
      </w:r>
    </w:p>
    <w:p>
      <w:r>
        <w:rPr>
          <w:rFonts w:ascii="Courier New" w:hAnsi="Courier New"/>
          <w:sz w:val="17"/>
        </w:rPr>
        <w:t xml:space="preserve">    - Ermöglichung der Delegation der Zuständigkeit von den höheren Verwaltungsbehörden auf andere Behörden -</w:t>
      </w:r>
    </w:p>
    <w:p>
      <w:r>
        <w:rPr>
          <w:rFonts w:ascii="Courier New" w:hAnsi="Courier New"/>
          <w:sz w:val="17"/>
        </w:rPr>
        <w:t xml:space="preserve">30.2    § 70 Abs. 2    (Mitwirkung bei der Zulassung von Ausnahmen)</w:t>
      </w:r>
    </w:p>
    <w:p>
      <w:r>
        <w:rPr>
          <w:rFonts w:ascii="Courier New" w:hAnsi="Courier New"/>
          <w:sz w:val="17"/>
        </w:rPr>
        <w:t xml:space="preserve">    - Ermöglichung der Delegation der Zuständigkeit von den obersten Straßenbaubehörden auf andere Behörden -</w:t>
      </w:r>
    </w:p>
    <w:p>
      <w:r>
        <w:rPr>
          <w:color w:val="555555"/>
          <w:sz w:val="17"/>
        </w:rPr>
        <w:t xml:space="preserve">Zitiervorschlag: Anlage ZustLG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https://recht.nulegal.eu/gesetze/ZustLG/anlage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