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ZustGVerk (Bayern) — Luftrecht und Schutz gegen Fluglärm</w:t>
      </w:r>
    </w:p>
    <w:p>
      <w:r>
        <w:rPr>
          <w:color w:val="555555"/>
          <w:sz w:val="18"/>
        </w:rPr>
        <w:t xml:space="preserve">Gesetz über Zuständigkeiten im Verkehrswesen BayRS 9210-1-I/B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Staatsministerium für Wohnen, Bau und Verkehr ist zuständig, die den Ländern im Luftrecht einschließlich des Luftsicherheitsrechts obliegenden Aufgaben wahrzunehmen.</w:t>
      </w:r>
    </w:p>
    <w:p>
      <w:r>
        <w:t xml:space="preserve">(2) Das Staatsministerium für Wohnen, Bau und Verkehr kann durch Rechtsverordnung die ihm nach Abs. 1 übertragenen Zuständigkeiten auf nachgeordnete Behörden übertragen und das Verfahren, insbesondere für Anerkennungen, Genehmigungen und Erlaubnisse, regeln.</w:t>
      </w:r>
    </w:p>
    <w:p>
      <w:r>
        <w:rPr>
          <w:color w:val="555555"/>
          <w:sz w:val="17"/>
        </w:rPr>
        <w:t xml:space="preserve">Zitiervorschlag: Art 9 ZustGVerk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https://recht.nulegal.eu/gesetze/ZustGVerk/9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