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ZustGVerk (Bayern) — Untere Straßenverkehrsbehörden</w:t>
      </w:r>
    </w:p>
    <w:p>
      <w:r>
        <w:rPr>
          <w:color w:val="555555"/>
          <w:sz w:val="18"/>
        </w:rPr>
        <w:t xml:space="preserve">Gesetz über Zuständigkeiten im Verkehrswesen BayRS 9210-1-I/B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unteren Straßenverkehrsbehörden erfüllen in ihrem Zuständigkeitsbereich alle Aufgaben, welche die Straßenverkehrs-Ordnung, § 4 der Ferienreiseverordnung sowie § 40 Abs. 1 und 2, § 47 Abs. 4 BImSchG den Straßenverkehrsbehörden zuweist, soweit nicht die örtlichen Straßenverkehrsbehörden, die Bundesverwaltung oder die höheren Straßenverkehrsbehörden zuständig sind.</w:t>
      </w:r>
    </w:p>
    <w:p>
      <w:r>
        <w:t xml:space="preserve">(2) Untere Verwaltungsbehörden im Sinn der 9. Ausnahmeverordnung zur StVO sind die Zulassungsbehörden.</w:t>
      </w:r>
    </w:p>
    <w:p>
      <w:r>
        <w:rPr>
          <w:color w:val="555555"/>
          <w:sz w:val="17"/>
        </w:rPr>
        <w:t xml:space="preserve">Zitiervorschlag: Art 4 ZustGVerk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https://recht.nulegal.eu/gesetze/ZustGVerk/4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