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10a ZustGVerk (Bayern) — Binnenschifffahrtsinformationsdienste und technische Vorschriften für Binnenschiffe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Wohnen, Bau und Verkehr erlässt zur Umsetzung der Richtlinie 2005/44/EG durch Rechtsverordnung die erforderlichen Vorschriften, insbesondere über</w:t>
      </w:r>
    </w:p>
    <w:p>
      <w:r>
        <w:t xml:space="preserve">1. die betroffenen Häfen und Hafenbereiche im Freistaat Bayern,</w:t>
      </w:r>
    </w:p>
    <w:p>
      <w:r>
        <w:t xml:space="preserve">2. die Pflichten der Hafenbetreiber zur Bereitstellung der für die Navigation und Reiseplanung erforderlichen Daten, zur Herausgabe navigationstauglicher Schiffskarten und zur Einrichtung elektronischer Meldemöglichkeiten.</w:t>
      </w:r>
    </w:p>
    <w:p>
      <w:r>
        <w:t xml:space="preserve">(2) Das Staatsministerium für Wohnen, Bau und Verkehr erlässt zur Umsetzung der Richtlinie 2006/87/EG durch Rechtsverordnung die erforderlichen Vorschriften für die Gewässer des Freistaates Bayern, die keine Bundeswasserstraßen sind, insbesondere über</w:t>
      </w:r>
    </w:p>
    <w:p>
      <w:r>
        <w:t xml:space="preserve">1. die Anforderungen an Bau, Ausrüstung, Einrichtung und Besatzung von Fahrzeugen, schwimmenden Anlagen und Schwimmkörpern sowie</w:t>
      </w:r>
    </w:p>
    <w:p>
      <w:r>
        <w:t xml:space="preserve">2. das Verfahren für deren technische Zulassung zum Verkehr.</w:t>
      </w:r>
    </w:p>
    <w:p>
      <w:r>
        <w:rPr>
          <w:color w:val="555555"/>
          <w:sz w:val="17"/>
        </w:rPr>
        <w:t xml:space="preserve">Zitiervorschlag: Art 10a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https://recht.nulegal.eu/gesetze/ZustGVerk/10a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