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ZustG (Bayern) — Bundeskleingartengesetz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des Bundeskleingartengesetzes (BKleingG) sind</w:t>
      </w:r>
    </w:p>
    <w:p>
      <w:r>
        <w:t xml:space="preserve">1. die Kreisverwaltungsbehörden für</w:t>
      </w:r>
    </w:p>
    <w:p>
      <w:r>
        <w:t xml:space="preserve">a) die Anerkennung einer Kleingärtnerorganisation als gemeinnützig nach § 2 BKleingG,</w:t>
      </w:r>
    </w:p>
    <w:p>
      <w:r>
        <w:t xml:space="preserve">b) die regelmäßige Prüfung der Geschäftsführung einer als gemeinnützig anerkannten Kleingärtnerorganisation nach § 2 BKleingG,</w:t>
      </w:r>
    </w:p>
    <w:p>
      <w:r>
        <w:t xml:space="preserve">c) die Anordnung, die Verwaltung einer Kleingartenanlage gemäß § 4 Abs. 3 BKleingG einer Kleingärtnerorganisation zu übertragen;</w:t>
      </w:r>
    </w:p>
    <w:p>
      <w:r>
        <w:t xml:space="preserve">hat die Kleingärtnerorganisation ihren Sitz im Gebiet einer kreisfreien Gemeinde, so ist die Regierung zuständig;</w:t>
      </w:r>
    </w:p>
    <w:p>
      <w:r>
        <w:t xml:space="preserve">2. das Staatsministerium für Wohnen, Bau und Verkehr für die Genehmigung von Regelungen über die Bewertung von Anpflanzungen und Anlagen nach § 11 Abs. 1 Satz 2 BKleingG.</w:t>
      </w:r>
    </w:p>
    <w:p>
      <w:r>
        <w:rPr>
          <w:color w:val="555555"/>
          <w:sz w:val="17"/>
        </w:rPr>
        <w:t xml:space="preserve">Zitiervorschlag: Art 8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