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ZustErgG</w:t>
      </w:r>
    </w:p>
    <w:p>
      <w:r>
        <w:rPr>
          <w:color w:val="555555"/>
          <w:sz w:val="18"/>
        </w:rPr>
        <w:t xml:space="preserve">Zuständigkeitsergänzungsgesetz</w:t>
      </w:r>
    </w:p>
    <w:p>
      <w:r>
        <w:rPr>
          <w:color w:val="555555"/>
          <w:sz w:val="18"/>
        </w:rPr>
        <w:t xml:space="preserve">Stand: 10.06.2019 (konsolidierte Textfassung, kein amtliches Inkrafttretensdatum)</w:t>
      </w:r>
    </w:p>
    <w:p>
      <w:r>
        <w:t xml:space="preserve">(1) Ergibt sich nach den Vorschriften der §§ 17 und 18 keine Zuständigkeit im Geltungsbereich dieses Gesetzes, so ist die Strafkammer des Landgerichts oder das Schwurgericht zuständig, in dessen Bezirk der Beschuldigte oder Verurteilte erstmalig nach dem Inkrafttreten dieses Gesetzes seinen Wohnsitz begründet.</w:t>
      </w:r>
    </w:p>
    <w:p>
      <w:r>
        <w:t xml:space="preserve">(2) Hat ein Beschuldigter oder Verurteilter seinen Wohnsitz im Ausland und ist eine Zuständigkeit nach Absatz 1 nicht begründet, so wird die Strafkammer oder das Schwurgericht durch den Bundesgerichtshof bestimmt.</w:t>
      </w:r>
    </w:p>
    <w:p>
      <w:r>
        <w:t xml:space="preserve">(3) Ist der Verurteilte vor dem Inkrafttreten dieses Gesetzes verstorben, so ist die Strafkammer des Landgerichts oder das Schwurgericht zuständig, in dessen Bezirk er seinen letzten Wohnsitz oder in Ermangelung eines im Bereich deutscher Gerichtsbarkeit gelegenen Wohnsitzes seinen letzten gewöhnlichen Aufenthalt hatte. Ergibt sich hiernach keine Zuständigkeit im Geltungsbereich dieses Gesetzes, so bestimmt sich die Zuständigkeit nach dem Wohnsitz oder dem gewöhnlichen Aufenthalt des nach § 361 Abs. 2 der Strafprozeßordnung berechtigten Antragstellers; die Absätze 1 und 2 gelten entsprechend. Sind hiernach mehrere Gerichte zuständig, so gebührt dem Gericht der Vorzug, das zuerst mit der Sache befaßt wird.</w:t>
      </w:r>
    </w:p>
    <w:p>
      <w:r>
        <w:rPr>
          <w:color w:val="555555"/>
          <w:sz w:val="17"/>
        </w:rPr>
        <w:t xml:space="preserve">Zitiervorschlag: § 19 ZustErgG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https://recht.nulegal.eu/gesetze/ZustErgG/19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