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ZustErgG</w:t>
      </w:r>
    </w:p>
    <w:p>
      <w:r>
        <w:rPr>
          <w:color w:val="555555"/>
          <w:sz w:val="18"/>
        </w:rPr>
        <w:t xml:space="preserve">Zuständigkeitsergänzungsgesetz</w:t>
      </w:r>
    </w:p>
    <w:p>
      <w:r>
        <w:rPr>
          <w:color w:val="555555"/>
          <w:sz w:val="18"/>
        </w:rPr>
        <w:t xml:space="preserve">Stand: 10.06.2019 (konsolidierte Textfassung, kein amtliches Inkrafttretensdatum)</w:t>
      </w:r>
    </w:p>
    <w:p>
      <w:r>
        <w:t xml:space="preserve">(1) Ein Verfahren, das durch Urteil eines Wehrmachtgerichts oder eines Gerichts einer wehrmachtähnlichen Formation rechtskräftig abgeschlossen ist, kann zugunsten des Verurteilten nach den Vorschriften der Strafprozeßordnung wieder aufgenommen werden. Die Wiederaufnahme ist auch zulässig, wenn auf eine Strafe oder eine Maßregel der Sicherung und Besserung erkannt worden ist, auf die nach den angewendeten Vorschriften überhaupt nicht erkannt werden durfte, oder wenn ein Urteil bestätigt worden ist, das nach § 86 der Kriegsstrafverfahrensordnung vom 17. August 1938 (Reichsgesetzbl. 1939 I S. 1457) nicht bestätigt werden durfte.</w:t>
      </w:r>
    </w:p>
    <w:p>
      <w:r>
        <w:t xml:space="preserve">(2) Ein Verfahren, das durch Urteil eines Sondergerichts rechtskräftig abgeschlossen ist, kann außer nach den Vorschriften der Strafprozeßordnung zugunsten des Verurteilten auch wieder aufgenommen werden, wenn Umstände vorliegen, die es erforderlich erscheinen lassen, die Sache im ordentlichen Verfahren nachzuprüfen. Die Vorschrift des § 363 der Strafprozeßordnung sowie die zur Wiedergutmachung nationalsozialistischen Unrechts in der Strafrechtspflege erlassenen Vorschriften bleiben unberührt.</w:t>
      </w:r>
    </w:p>
    <w:p>
      <w:r>
        <w:t xml:space="preserve">(3) Für das Wiederaufnahmeverfahren ist die Strafkammer des Landgerichts oder unter den Voraussetzungen des § 80 des Gerichtsverfassungsgesetzes das Schwurgericht zuständig, in dessen Bezirk der Verurteilte zur Zeit des Inkrafttretens dieses Gesetzes seinen Wohnsitz oder in Ermangelung eines im Bereich deutscher Gerichtsbarkeit gelegenen Wohnsitzes seinen gewöhnlichen Aufenthalt hat.</w:t>
      </w:r>
    </w:p>
    <w:p>
      <w:r>
        <w:rPr>
          <w:color w:val="555555"/>
          <w:sz w:val="17"/>
        </w:rPr>
        <w:t xml:space="preserve">Zitiervorschlag: § 18 ZustErgG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https://recht.nulegal.eu/gesetze/ZustErgG/18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