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ZustErgG</w:t>
      </w:r>
    </w:p>
    <w:p>
      <w:r>
        <w:rPr>
          <w:color w:val="555555"/>
          <w:sz w:val="18"/>
        </w:rPr>
        <w:t xml:space="preserve">Zuständigkeitsergänzungsgesetz</w:t>
      </w:r>
    </w:p>
    <w:p>
      <w:r>
        <w:rPr>
          <w:color w:val="555555"/>
          <w:sz w:val="18"/>
        </w:rPr>
        <w:t xml:space="preserve">Stand: 10.06.2019 (konsolidierte Textfassung, kein amtliches Inkrafttretensdatum)</w:t>
      </w:r>
    </w:p>
    <w:p>
      <w:r>
        <w:t xml:space="preserve">(1) Für Strafsachen, die am 8. Mai 1945 bei einem Gericht anhängig oder rechtskräftig abgeschlossen waren, an dessen Sitz deutsche Gerichtsbarkeit nicht mehr ausgeübt wird, ist die Strafkammer des Landgerichts oder unter den Voraussetzungen des § 80 des Gerichtsverfassungsgesetzes das Schwurgericht zuständig, in dessen Bezirk der Beschuldigte oder Verurteilte zur Zeit des Inkrafttretens dieses Gesetzes seinen Wohnsitz oder in Ermangelung eines im Bereich deutscher Gerichtsbarkeit gelegenen Wohnsitzes seinen gewöhnlichen Aufenthalt hat. Dies gilt nur für Personen, die zur Zeit des früheren Verfahrens Deutsche waren und im Zeitpunkt der Fortsetzung des Verfahrens oder des Antrags auf Wiederaufnahme Deutsche sind.</w:t>
      </w:r>
    </w:p>
    <w:p>
      <w:r>
        <w:t xml:space="preserve">(2) Bei der Strafvollstreckung tritt, wenn die bisherige Strafvollstreckungsbehörde bei einem Gericht bestand, an dessen Sitz deutsche Gerichtsbarkeit nicht mehr ausgeübt wird, an deren Stelle die Strafvollstreckungsbehörde bei dem Landgericht, in dessen Bezirk der Verurteilte seinen Wohnsitz oder in Ermangelung eines im Bereich deutscher Gerichtsbarkeit gelegenen Wohnsitzes seinen gewöhnlichen Aufenthalt hat.</w:t>
      </w:r>
    </w:p>
    <w:p>
      <w:r>
        <w:rPr>
          <w:color w:val="555555"/>
          <w:sz w:val="17"/>
        </w:rPr>
        <w:t xml:space="preserve">Zitiervorschlag: § 17 ZustErgG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https://recht.nulegal.eu/gesetze/ZustErgG/17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