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ZustAnpG 2002 — Anwendungsvorschrift</w:t>
      </w:r>
    </w:p>
    <w:p>
      <w:r>
        <w:rPr>
          <w:color w:val="555555"/>
          <w:sz w:val="18"/>
        </w:rPr>
        <w:t xml:space="preserve">Zuständigkeitsanpassungsgesetz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Erlaubnis zur Bekanntmachung einer Neufassung nach § 3 Abs. 1 oder Abs. 3 gilt entsprechend für Gesetze und Rechtsverordnungen, die durch die Siebente Zuständigkeitsanpassungs-Verordnung vom 29. Oktober 2001 (BGBl. I S. 2785) geändert worden sind.</w:t>
      </w:r>
    </w:p>
    <w:p>
      <w:r>
        <w:rPr>
          <w:color w:val="555555"/>
          <w:sz w:val="17"/>
        </w:rPr>
        <w:t xml:space="preserve">Zitiervorschlag: § 4 ZustAnpG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https://recht.nulegal.eu/gesetze/ZustAnpG%202002/4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