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ZustAOBeih</w:t>
      </w:r>
    </w:p>
    <w:p>
      <w:r>
        <w:rPr>
          <w:color w:val="555555"/>
          <w:sz w:val="18"/>
        </w:rPr>
        <w:t xml:space="preserve">BMF-Zuständigkeitsanordnung - Beihilfe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Abschnitt I gilt entsprechend für Beihilfeanträge ehemaliger Bundespräsidenten, Bundeskanzler, Bundesminister und Parlamentarischer Staatssekretäre.</w:t>
      </w:r>
    </w:p>
    <w:p>
      <w:r>
        <w:rPr>
          <w:color w:val="555555"/>
          <w:sz w:val="17"/>
        </w:rPr>
        <w:t xml:space="preserve">Zitiervorschlag: II. ZustAOBeih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https://recht.nulegal.eu/gesetze/ZustAOBeih/ii.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