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ZustÜblG</w:t>
      </w:r>
    </w:p>
    <w:p>
      <w:r>
        <w:rPr>
          <w:color w:val="555555"/>
          <w:sz w:val="18"/>
        </w:rPr>
        <w:t xml:space="preserve">Gesetz zur Überleitung der Zuständigkeit der Obersten Rückerstattungsgerichte auf den Bundesgerichtshof (Artikel 9 d. Rechtspflege-Vereinfachungsgesetzes)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weitere Beschwerde und die Revision finden ohne Rücksicht auf den Wert des Beschwerdegegenstandes statt.</w:t>
      </w:r>
    </w:p>
    <w:p>
      <w:r>
        <w:t xml:space="preserve">(2) Das Oberlandesgericht ist zu einer Änderung seiner der weiteren Beschwerde unterliegenden Entscheidung nicht befugt.</w:t>
      </w:r>
    </w:p>
    <w:p>
      <w:r>
        <w:rPr>
          <w:color w:val="555555"/>
          <w:sz w:val="17"/>
        </w:rPr>
        <w:t xml:space="preserve">Zitiervorschlag: § 3 ZustÜblG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https://recht.nulegal.eu/gesetze/Zust%C3%9CblG/3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