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ZustÜblG</w:t>
      </w:r>
    </w:p>
    <w:p>
      <w:r>
        <w:rPr>
          <w:color w:val="555555"/>
          <w:sz w:val="18"/>
        </w:rPr>
        <w:t xml:space="preserve">Gesetz zur Überleitung der Zuständigkeit der Obersten Rückerstattungsgerichte auf den Bundesgerichtshof (Artikel 9 d. Rechtspflege-Vereinfachungsgesetzes)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Verfahren über die Revision und die weitere Beschwerde gelten die Vorschriften des Zweiten Abschnitts des Dritten Buches der Zivilprozeßordnung entsprechend, soweit dieses Gesetz nichts anderes bestimmt.</w:t>
      </w:r>
    </w:p>
    <w:p>
      <w:r>
        <w:rPr>
          <w:color w:val="555555"/>
          <w:sz w:val="17"/>
        </w:rPr>
        <w:t xml:space="preserve">Zitiervorschlag: § 2 ZustÜblG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https://recht.nulegal.eu/gesetze/Zust%C3%9CblG/2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