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ZustÜVOJu (Sachsen) — Bestimmung der Zahl der Kammern beim Sächsischen Landesarbeitsgericht und bei den sächsischen Arbeitsgerichten</w:t>
      </w:r>
    </w:p>
    <w:p>
      <w:r>
        <w:rPr>
          <w:color w:val="555555"/>
          <w:sz w:val="18"/>
        </w:rPr>
        <w:t xml:space="preserve">Zuständigkeitsübertragungsverordnung Justiz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Zahl der Kammern beim Sächsischen Landesarbeitsgericht und bei den sächsischen Arbeitsgerichten bestimmt die Präsidentin oder der Präsident des Sächsischen Landesarbeitsgerichts.</w:t>
      </w:r>
    </w:p>
    <w:p>
      <w:r>
        <w:rPr>
          <w:color w:val="555555"/>
          <w:sz w:val="17"/>
        </w:rPr>
        <w:t xml:space="preserve">Zitiervorschlag: § 4 ZustÜVOJu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https://recht.nulegal.eu/gesetze/Zust%C3%9CVOJu/4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