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ZustÜVFv (Sachsen) — Inkrafttreten, Außerkrafttreten</w:t>
      </w:r>
    </w:p>
    <w:p>
      <w:r>
        <w:rPr>
          <w:color w:val="555555"/>
          <w:sz w:val="18"/>
        </w:rPr>
        <w:t xml:space="preserve">Zuständigkeitsübertragungsverordnung Finanzverwaltung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Zuständigkeitsübertragungsverordnung Finanzverwaltung vom 17. Dezember 1993 (SächsGVBl. S. 1281), die durch die Verordnung vom 8. März 2005 (SächsGVBl. S. 42) geändert worden ist, außer Kraft.</w:t>
      </w:r>
    </w:p>
    <w:p>
      <w:r>
        <w:t xml:space="preserve">Dresden, den 11. Dezember 2018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der Finanzen</w:t>
      </w:r>
    </w:p>
    <w:p>
      <w:r>
        <w:t xml:space="preserve">Dr. Matthias Haß</w:t>
      </w:r>
    </w:p>
    <w:p>
      <w:r>
        <w:rPr>
          <w:color w:val="555555"/>
          <w:sz w:val="17"/>
        </w:rPr>
        <w:t xml:space="preserve">Zitiervorschlag: § 2 ZustÜVFv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https://recht.nulegal.eu/gesetze/Zust%C3%9CVFv/2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