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ZustÜVFv (Sachsen) — Übertragung von Ermächtigungen</w:t>
      </w:r>
    </w:p>
    <w:p>
      <w:r>
        <w:rPr>
          <w:color w:val="555555"/>
          <w:sz w:val="18"/>
        </w:rPr>
        <w:t xml:space="preserve">Zuständigkeitsübertragungsverordnung Finanzverwaltung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Staatsregierung überträgt die nachstehenden Ermächtigungen zum Erlass von Rechtsverordnungen auf das Staatsministerium der Finanzen:</w:t>
      </w:r>
    </w:p>
    <w:p>
      <w:r>
        <w:t xml:space="preserve">1. die Ermächtigungen nach § 19 Absatz 5 Satz 1, § 88b Absatz 3 Satz 1, § 387 Absatz 2 Satz 1 und 2 sowie § 409 Satz 2 in Verbindung mit § 387 Absatz 1 Satz 1 und 2 der Abgabenordnung ,</w:t>
      </w:r>
    </w:p>
    <w:p>
      <w:r>
        <w:t xml:space="preserve">2. die Ermächtigungen nach § 2 Absatz 2 Satz 1 und Absatz 3 Satz 1, § 5 Absatz 1 Nummer 11 Satz 8 sowie § 17 Absatz 2 Satz 3 und Absatz 3 Satz 1 des Finanzverwaltungsgesetzes ,</w:t>
      </w:r>
    </w:p>
    <w:p>
      <w:r>
        <w:t xml:space="preserve">3. die Ermächtigungen nach § 979 Absatz 1b Satz 1 Halbsatz 1 und Satz 2 Halbsatz 1 sowie nach § 983 in Verbindung mit § 979 Absatz 1b Satz 1 Halbsatz 1 und Satz 2 Halbsatz 1 des Bürgerlichen Gesetzbuches hinsichtlich der an Finanzbehörden abgelieferten Fundsachen und der im Besitz von Finanzbehörden befindlichen unanbringbaren Sachen,</w:t>
      </w:r>
    </w:p>
    <w:p>
      <w:r>
        <w:t xml:space="preserve">4. die Ermächtigungen nach § 14 Absatz 3 Satz 2 des Fünften Vermögensbildungsgesetzes in Verbindung mit § 387 Absatz 2 Satz 1 und 2 sowie § 409 Satz 2 in Verbindung mit § 387 Absatz 1 Satz 1 und 2 der Abgabenordnung ,</w:t>
      </w:r>
    </w:p>
    <w:p>
      <w:r>
        <w:t xml:space="preserve">5. die Ermächtigungen nach § 8 Absatz 2 Satz 2 des Wohnungsbau-Prämiengesetzes in Verbindung mit § 387 Absatz 2 Satz 1 und 2 sowie § 409 Satz 2 in Verbindung mit § 387 Absatz 1 Satz 1 und 2 der Abgabenordnung ,</w:t>
      </w:r>
    </w:p>
    <w:p>
      <w:r>
        <w:t xml:space="preserve">6. die Ermächtigung nach § 164 Satz 1 des Steuerberatungsgesetzes in Verbindung mit § 387 Absatz 2 Satz 1 und 2 der Abgabenordnung ,</w:t>
      </w:r>
    </w:p>
    <w:p>
      <w:r>
        <w:t xml:space="preserve">7. die Ermächtigung nach § 56 Absatz 6 des Geldwäschegesetzes in Verbindung mit § 387 Absatz 2 Satz 1 und 2 der Abgabenordnung ,</w:t>
      </w:r>
    </w:p>
    <w:p>
      <w:r>
        <w:t xml:space="preserve">8. die Ermächtigung nach § 9 des Investitionszulagengesetzes 1996 in Verbindung mit § 387 Absatz 2 Satz 1 und 2 der Abgabenordnung ,</w:t>
      </w:r>
    </w:p>
    <w:p>
      <w:r>
        <w:t xml:space="preserve">9. die Ermächtigung nach § 8 des Investitionszulagengesetzes 1999 in Verbindung mit § 387 Absatz 2 Satz 1 und 2 der Abgabenordnung ,</w:t>
      </w:r>
    </w:p>
    <w:p>
      <w:r>
        <w:t xml:space="preserve">10. die Ermächtigung nach § 7 des Investitionszulagengesetzes 2005 in Verbindung mit § 387 Absatz 2 Satz 1 und 2 der Abgabenordnung ,</w:t>
      </w:r>
    </w:p>
    <w:p>
      <w:r>
        <w:t xml:space="preserve">11. die Ermächtigung nach § 14 des Investitionszulagengesetzes 2007 in Verbindung mit § 387 Absatz 2 Satz 1 und 2 der Abgabenordnung ,</w:t>
      </w:r>
    </w:p>
    <w:p>
      <w:r>
        <w:t xml:space="preserve">12. die Ermächtigung nach § 15 des Investitionszulagengesetzes 2010 in Verbindung mit § 387 Absatz 2 Satz 1 und 2 der Abgabenordnung ,</w:t>
      </w:r>
    </w:p>
    <w:p>
      <w:r>
        <w:t xml:space="preserve">13. die Ermächtigung nach § 15 Absatz 2 des Eigenheimzulagengesetzes in Verbindung mit § 387 Absatz 2 Satz 1 und 2 der Abgabenordnung ,</w:t>
      </w:r>
    </w:p>
    <w:p>
      <w:r>
        <w:t xml:space="preserve">14. die Ermächtigung nach § 20 des Berlinförderungsgesetzes in Verbindung mit § 387 Absatz 2 Satz 1 und 2 der Abgabenordnung ,</w:t>
      </w:r>
    </w:p>
    <w:p>
      <w:r>
        <w:t xml:space="preserve">15. die Ermächtigungen nach § 29a Absatz 2 des Berlinförderungsgesetzes in Verbindung mit § 387 Absatz 2 Satz 1 und 2 sowie § 409 Satz 2 in Verbindung mit § 387 Absatz 1 Satz 1 und 2 der Abgabenordnung ,</w:t>
      </w:r>
    </w:p>
    <w:p>
      <w:r>
        <w:t xml:space="preserve">16. die Ermächtigungen nach § 100 Absatz 5 Nummer 3 des Einkommensteuergesetzes in Verbindung mit § 387 Absatz 2 Satz 1 und 2 sowie § 409 Satz 2 in Verbindung mit § 387 Absatz 1 Satz 1 und 2 der Abgabenordnung .</w:t>
      </w:r>
    </w:p>
    <w:p>
      <w:r>
        <w:t xml:space="preserve">Rechtsverordnungen nach § 5 Absatz 1 Nummer 11 Satz 8 des Finanzverwaltungsgesetzes sind im Benehmen mit den fachlich betroffenen Staatsministerien zu erlassen.</w:t>
      </w:r>
    </w:p>
    <w:p>
      <w:r>
        <w:rPr>
          <w:color w:val="555555"/>
          <w:sz w:val="17"/>
        </w:rPr>
        <w:t xml:space="preserve">Zitiervorschlag: § 1 ZustÜVFv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https://recht.nulegal.eu/gesetze/Zust%C3%9CVFv/1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