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ZuschussVO (Sachsen) — Inkrafttreten, Außerkrafttreten</w:t>
      </w:r>
    </w:p>
    <w:p>
      <w:r>
        <w:rPr>
          <w:color w:val="555555"/>
          <w:sz w:val="18"/>
        </w:rPr>
        <w:t xml:space="preserve">Zuschussverordnung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mit Wirkung vom 1. August 2015 in Kraft. Gleichzeitig tritt die Zuschussverordnung vom 16. Mai 2007 (SächsGVBl. S. 176), die zuletzt durch die Verordnung vom 30. Mai 2013 (SächsGVBl. S. 479) geändert worden ist, außer Kraft.</w:t>
      </w:r>
    </w:p>
    <w:p>
      <w:r>
        <w:t xml:space="preserve">Dresden, den 26. Mai 2016</w:t>
      </w:r>
    </w:p>
    <w:p>
      <w:r>
        <w:t xml:space="preserve">Die Staatsministerin für Kultus</w:t>
      </w:r>
    </w:p>
    <w:p>
      <w:r>
        <w:t xml:space="preserve">Brunhild Kurth</w:t>
      </w:r>
    </w:p>
    <w:p>
      <w:r>
        <w:rPr>
          <w:color w:val="555555"/>
          <w:sz w:val="17"/>
        </w:rPr>
        <w:t xml:space="preserve">Zitiervorschlag: § 15 ZuschussVO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https://recht.nulegal.eu/gesetze/ZuschussVO/15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