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ZuschussVO (Sachsen) — Abrechnung von Wartefristen</w:t>
      </w:r>
    </w:p>
    <w:p>
      <w:r>
        <w:rPr>
          <w:color w:val="555555"/>
          <w:sz w:val="18"/>
        </w:rPr>
        <w:t xml:space="preserve">Zuschussverordnung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Gewährung der staatlichen Finanzhilfe an Gemeinschaftsschulen oder Oberschulen+, die aus einer Schulartänderung hervorgehen, wird die längste der von einer an der Schulartänderung beteiligten Schulen bereits absolvierten Wartefristen nach § 13 Absatz 3 Satz 1 des Sächsischen Gesetzes über Schulen in freier Trägerschaft angerechnet.</w:t>
      </w:r>
    </w:p>
    <w:p>
      <w:r>
        <w:rPr>
          <w:color w:val="555555"/>
          <w:sz w:val="17"/>
        </w:rPr>
        <w:t xml:space="preserve">Zitiervorschlag: § 10 ZuschussVO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https://recht.nulegal.eu/gesetze/ZuschussVO/10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