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ZupfinstrumentAusbV — Ausbildungsrahmenplan</w:t>
      </w:r>
    </w:p>
    <w:p>
      <w:r>
        <w:rPr>
          <w:color w:val="555555"/>
          <w:sz w:val="18"/>
        </w:rPr>
        <w:t xml:space="preserve">Zupfinstrumentenmacherausbildungsverordnung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Gegenstand der Berufsausbildung sind mindestens die im Ausbildungsrahmenplan (Anlage) genannten Fertigkeiten, Kenntnisse und Fähigkeiten (berufliche Handlungsfähigkeit).</w:t>
      </w:r>
    </w:p>
    <w:p>
      <w:r>
        <w:t xml:space="preserve">(2) Eine von dem Ausbildungsrahmenplan abweichende Organisation der Ausbildung ist insbesondere dann zulässig, wenn betriebspraktische Besonderheiten die Abweichung erfordern.</w:t>
      </w:r>
    </w:p>
    <w:p>
      <w:r>
        <w:rPr>
          <w:color w:val="555555"/>
          <w:sz w:val="17"/>
        </w:rPr>
        <w:t xml:space="preserve">Zitiervorschlag: § 5 ZupfinstrumentAusbV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https://recht.nulegal.eu/gesetze/ZupfinstrumentAusbV/5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