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ZupfinstrumentAusbV — Staatliche Anerkennung des Ausbildungsberufes</w:t>
      </w:r>
    </w:p>
    <w:p>
      <w:r>
        <w:rPr>
          <w:color w:val="555555"/>
          <w:sz w:val="18"/>
        </w:rPr>
        <w:t xml:space="preserve">Zupfinstrumentenmacherausbildungsverordnung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Zupfinstrumentenmacher und Zupfinstrumentenmacherin wird nach § 25 der Handwerksordnung zur Ausbildung für das Gewerbe der Anlage B Abschnitt 1 Nummer 51 Zupfinstrumentenmacher der Handwerksordnung staatlich anerkannt.</w:t>
      </w:r>
    </w:p>
    <w:p>
      <w:r>
        <w:rPr>
          <w:color w:val="555555"/>
          <w:sz w:val="17"/>
        </w:rPr>
        <w:t xml:space="preserve">Zitiervorschlag: § 1 ZupfinstrumentAusbV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https://recht.nulegal.eu/gesetze/ZupfinstrumentAusbV/1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ZupfinstrumentAusbV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