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ZulKostV</w:t>
      </w:r>
    </w:p>
    <w:p>
      <w:r>
        <w:rPr>
          <w:color w:val="555555"/>
          <w:sz w:val="18"/>
        </w:rPr>
        <w:t xml:space="preserve">Zulassungskostenverordnung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14 Satz 1 Nr. 1 und 2 des Eichgesetzes in der Fassung der Bekanntmachung vom 23. März 1992 (BGBl. I S. 711) in Verbindung mit dem 2. Abschnitt des Verwaltungskostengesetzes vom 23. Juni 1970 (BGBl. I S. 821) verordnet der Bundesminister für Wirtschaft:</w:t>
      </w:r>
    </w:p>
    <w:p>
      <w:r>
        <w:rPr>
          <w:color w:val="555555"/>
          <w:sz w:val="17"/>
        </w:rPr>
        <w:t xml:space="preserve">Zitiervorschlag: Eingangsformel ZulKostV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https://recht.nulegal.eu/gesetze/ZulKostV/eingangsformel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