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ZulKostV — Auslagen</w:t>
      </w:r>
    </w:p>
    <w:p>
      <w:r>
        <w:rPr>
          <w:color w:val="555555"/>
          <w:sz w:val="18"/>
        </w:rPr>
        <w:t xml:space="preserve">Zulassungskostenverordnung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Auslagen sind nach Maßgabe des § 10 des Verwaltungskostengesetzes in der bis zum 14. August 2013 geltenden Fassung zu erstatten. Die in § 10 Absatz 1 Nummer 1 des Verwaltungskostengesetzes in der bis zum 14. August 2013 geltenden Fassung bezeichneten Auslagen werden jedoch nicht gesondert erhoben.</w:t>
      </w:r>
    </w:p>
    <w:p>
      <w:r>
        <w:rPr>
          <w:color w:val="555555"/>
          <w:sz w:val="17"/>
        </w:rPr>
        <w:t xml:space="preserve">Zitiervorschlag: § 4 ZulKostV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https://recht.nulegal.eu/gesetze/ZulKostV/4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