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ZulKostV — Gebührenerhebung in besonderen Fällen</w:t>
      </w:r>
    </w:p>
    <w:p>
      <w:r>
        <w:rPr>
          <w:color w:val="555555"/>
          <w:sz w:val="18"/>
        </w:rPr>
        <w:t xml:space="preserve">Zulassungskostenverordnung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Erfordert eine Zulassung einen überdurchschnittlichen sachlichen Aufwand, so ist dieser nach den Selbstkosten zu berechnen. Um diesen Betrag erhöht sich die Gebühr nach § 2.</w:t>
      </w:r>
    </w:p>
    <w:p>
      <w:r>
        <w:rPr>
          <w:color w:val="555555"/>
          <w:sz w:val="17"/>
        </w:rPr>
        <w:t xml:space="preserve">Zitiervorschlag: § 3 ZulKostV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