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ZulKostV — Anwendungsbereich</w:t>
      </w:r>
    </w:p>
    <w:p>
      <w:r>
        <w:rPr>
          <w:color w:val="555555"/>
          <w:sz w:val="18"/>
        </w:rPr>
        <w:t xml:space="preserve">Zulassungskostenverordnung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jede der nachstehend aufgeführten individuell zurechenbaren öffentlichen Leistungen der Physikalisch-Technischen Bundesanstalt (PTB) nach § 13a Nummer 1 und 2 des Eichgesetzes werden Gebühren und Auslagen nach dieser Verordnung erhoben:</w:t>
      </w:r>
    </w:p>
    <w:p>
      <w:pPr>
        <w:ind w:left="420"/>
      </w:pPr>
      <w:r>
        <w:t xml:space="preserve">1. die Prüfung, Bewertung oder Zulassung von Messgeräten gemäß § 7c Absatz 2 in Verbindung mit Anlage 9 Nummer 2 der Eichordnung, gemäß den §§ 18 bis 19 oder gemäß § 28 der Eichordnung,</w:t>
      </w:r>
    </w:p>
    <w:p>
      <w:pPr>
        <w:ind w:left="420"/>
      </w:pPr>
      <w:r>
        <w:t xml:space="preserve">2. die Verlängerung, Änderung oder Ergänzung von erteilten Zulassungsbescheiden gemäß § 20 Absatz 1 oder § 26 Absatz 2 oder 3 der Eichordnung,</w:t>
      </w:r>
    </w:p>
    <w:p>
      <w:pPr>
        <w:ind w:left="420"/>
      </w:pPr>
      <w:r>
        <w:t xml:space="preserve">3. die Übertragung einer Bauartzulassung gemäß § 27 der Eichordnung,</w:t>
      </w:r>
    </w:p>
    <w:p>
      <w:pPr>
        <w:ind w:left="420"/>
      </w:pPr>
      <w:r>
        <w:t xml:space="preserve">4. die Prüfung von Normalgeräten oder Prüfungshilfsmitteln der zuständigen Behörden und der staatlich anerkannten Prüfstellen gemäß § 13a Nummer 2 in Verbindung mit § 13 Absatz 1 Nummer 2 des Eichgesetzes,</w:t>
      </w:r>
    </w:p>
    <w:p>
      <w:pPr>
        <w:ind w:left="420"/>
      </w:pPr>
      <w:r>
        <w:t xml:space="preserve">5. die Feststellung der Gleichwertigkeit von Prüfungen oder Kennzeichnungen von Messgeräten gemäß § 80 Absatz 2 und 3 der Eichordnung,</w:t>
      </w:r>
    </w:p>
    <w:p>
      <w:pPr>
        <w:ind w:left="420"/>
      </w:pPr>
      <w:r>
        <w:t xml:space="preserve">6. die Vergleichsmessungen von Dosimetern gemäß § 2 Absatz 3 Satz 4 der Eichordnung,</w:t>
      </w:r>
    </w:p>
    <w:p>
      <w:pPr>
        <w:ind w:left="420"/>
      </w:pPr>
      <w:r>
        <w:t xml:space="preserve">7. die Änderungen an bestehenden Bescheinigungen über die Anerkennung von Herstellerzeichen für Schankgefäße gemäß § 45 Absatz 3 der Eichordnung, der gemäß § 77 Absatz 3 der Eichordnung weiter Anwendung finden kann,</w:t>
      </w:r>
    </w:p>
    <w:p>
      <w:pPr>
        <w:ind w:left="420"/>
      </w:pPr>
      <w:r>
        <w:t xml:space="preserve">8. die Prüfung oder Erteilung von Anerkennungen von Herstellerzeichen für Flaschen und Maßbehältnisse oder deren Änderungen gemäß § 4 der Fertigpackungsverordnung.</w:t>
      </w:r>
    </w:p>
    <w:p>
      <w:r>
        <w:rPr>
          <w:color w:val="555555"/>
          <w:sz w:val="17"/>
        </w:rPr>
        <w:t xml:space="preserve">Zitiervorschlag: § 1 ZulKostV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https://recht.nulegal.eu/gesetze/ZulKostV/1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