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ZuckerUmstrV</w:t>
      </w:r>
    </w:p>
    <w:p>
      <w:r>
        <w:rPr>
          <w:color w:val="555555"/>
          <w:sz w:val="18"/>
        </w:rPr>
        <w:t xml:space="preserve">Verordnung über die befristete Umstrukturierungsregelung für die Zuckerindustrie</w:t>
      </w:r>
    </w:p>
    <w:p>
      <w:r>
        <w:rPr>
          <w:color w:val="555555"/>
          <w:sz w:val="18"/>
        </w:rPr>
        <w:t xml:space="preserve">Historische Fassung: Stand 10.06.2019 bis 18.03.2022. Dies ist nicht die aktuelle Fassung.</w:t>
      </w:r>
    </w:p>
    <w:p>
      <w:r>
        <w:t xml:space="preserve">Auf Grund des § 6 Abs. 1 Nr. 1 Buchstabe s, der §§ 15 und 16 sowie des § 31 Abs. 2 Satz 1 Nr. 1 in Verbindung mit Satz 3 und 4 und § 6 Abs. 4 Satz 2 des Gesetzes zur Durchführung der Gemeinsamen Marktorganisationen und der Direktzahlungen in der Fassung der Bekanntmachung vom 24. Juni 2005 (BGBl. I S. 1847), von denen § 31 Abs. 2 durch Artikel 34 des Gesetzes vom 13. April 2006 (BGBl. I S. 855) geändert worden ist, in Verbindung mit § 1 Abs. 2 des Zuständigkeitsanpassungsgesetzes vom 16. August 2002 (BGBl. I S. 3165) und dem Organisationserlass vom 22. November 2005 (BGBl. I S. 3197) verordnet das Bundesministerium für Ernährung, Landwirtschaft und Verbraucherschutz im Einvernehmen mit den Bundesministerien der Finanzen und für Wirtschaft und Technologie:</w:t>
      </w:r>
    </w:p>
    <w:p>
      <w:r>
        <w:rPr>
          <w:color w:val="555555"/>
          <w:sz w:val="17"/>
        </w:rPr>
        <w:t xml:space="preserve">Zitiervorschlag: Eingangsformel ZuckerUmstrV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https://recht.nulegal.eu/gesetze/ZuckerUmstrV/eingangsformel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