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ZuckerUmstrV — Zuständige Stelle</w:t>
      </w:r>
    </w:p>
    <w:p>
      <w:r>
        <w:rPr>
          <w:color w:val="555555"/>
          <w:sz w:val="18"/>
        </w:rPr>
        <w:t xml:space="preserve">Verordnung über die befristete Umstrukturierungsregelung für die Zuckerindustrie</w:t>
      </w:r>
    </w:p>
    <w:p>
      <w:r>
        <w:rPr>
          <w:color w:val="555555"/>
          <w:sz w:val="18"/>
        </w:rPr>
        <w:t xml:space="preserve">Historische Fassung: Stand 10.06.2019 bis 18.03.2022. Dies ist nicht die aktuelle Fassung.</w:t>
      </w:r>
    </w:p>
    <w:p>
      <w:r>
        <w:t xml:space="preserve">Die Bundesanstalt für Landwirtschaft und Ernährung (Bundesanstalt) ist für die Gewährung der Umstrukturierungsbeihilfe zuständig.</w:t>
      </w:r>
    </w:p>
    <w:p>
      <w:r>
        <w:rPr>
          <w:color w:val="555555"/>
          <w:sz w:val="17"/>
        </w:rPr>
        <w:t xml:space="preserve">Zitiervorschlag: § 2 ZuckerUmstrV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https://recht.nulegal.eu/gesetze/ZuckerUmstrV/2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ZuckerUmstrV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