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ZuckQuotV 1981 — Festsetzung und Änderung der Quoten</w:t>
      </w:r>
    </w:p>
    <w:p>
      <w:r>
        <w:rPr>
          <w:color w:val="555555"/>
          <w:sz w:val="18"/>
        </w:rPr>
        <w:t xml:space="preserve">Zucker-Quoten-Verordnung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setzt die Quoten durch schriftlichen Bescheid fest.</w:t>
      </w:r>
    </w:p>
    <w:p>
      <w:r>
        <w:t xml:space="preserve">(2) Das Bundesministerium kann die festgesetzten Quoten im Rahmen der Bestimmungen der in § 1 genannten Rechtsakte ändern, um Veränderungen in der Struktur der Zuckerindustrie und im Zuckerrübenanbau oder sonstigen vom Rat verfolgten Zielen Rechnung zu tragen.</w:t>
      </w:r>
    </w:p>
    <w:p>
      <w:r>
        <w:rPr>
          <w:color w:val="555555"/>
          <w:sz w:val="17"/>
        </w:rPr>
        <w:t xml:space="preserve">Zitiervorschlag: § 3 ZuckQuotV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https://recht.nulegal.eu/gesetze/ZuckQuotV%201981/3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