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ZuckQuotV 1981 — Anwendungsbereich</w:t>
      </w:r>
    </w:p>
    <w:p>
      <w:r>
        <w:rPr>
          <w:color w:val="555555"/>
          <w:sz w:val="18"/>
        </w:rPr>
        <w:t xml:space="preserve">Zucker-Quoten-Verordnung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dieser Verordnung gelten für die Durchführung der Rechtsakte der Europäischen Gemeinschaft oder der Europäischen Union über die Durchführung der Quotenregelung für Zucker.</w:t>
      </w:r>
    </w:p>
    <w:p>
      <w:r>
        <w:rPr>
          <w:color w:val="555555"/>
          <w:sz w:val="17"/>
        </w:rPr>
        <w:t xml:space="preserve">Zitiervorschlag: § 1 ZuckQuotV 1981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https://recht.nulegal.eu/gesetze/ZuckQuotV%201981/1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