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ZuckProdAbgV 1983 — Werkverträge über die Herstellung von Zucker</w:t>
      </w:r>
    </w:p>
    <w:p>
      <w:r>
        <w:rPr>
          <w:color w:val="555555"/>
          <w:sz w:val="18"/>
        </w:rPr>
        <w:t xml:space="preserve">Zucker-Produktionsabgaben-Verordnung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Soll im Rahmen eines Werkvertrages hergestellter Zucker der Erzeugung des Auftraggebers zugerechnet werden, so ist dies unverzüglich nach Vertragsabschluss zu beantragen. Der Antrag ist</w:t>
      </w:r>
    </w:p>
    <w:p>
      <w:pPr>
        <w:ind w:left="420"/>
      </w:pPr>
      <w:r>
        <w:t xml:space="preserve">1. im Regelfall in zwei Stücken an das für den Auftraggeber zuständige Hauptzollamt,</w:t>
      </w:r>
    </w:p>
    <w:p>
      <w:pPr>
        <w:ind w:left="420"/>
      </w:pPr>
      <w:r>
        <w:t xml:space="preserve">2. wenn einer der beteiligten Zuckerhersteller seinen Sitz in einem anderen Mitgliedstaat hat, in drei Stücken an das für den inländischen Zuckerhersteller zuständige Hauptzollamt und</w:t>
      </w:r>
    </w:p>
    <w:p>
      <w:pPr>
        <w:ind w:left="420"/>
      </w:pPr>
      <w:r>
        <w:t xml:space="preserve">3. wenn ein Fall höherer Gewalt als Grund für den Werkvertrag anerkannt werden soll, in fünf Stücken an das für den Auftraggeber zuständige Hauptzollamt</w:t>
      </w:r>
    </w:p>
    <w:p>
      <w:r>
        <w:t xml:space="preserve">zu richten. Hat im Fall des Satzes 2 Nr. 3 nur der Verarbeiter nach Artikel 6 Absatz 3 der Verordnung (EG) Nr. 952/2006 seinen Sitz im Inland, so zeigt er den Vertragsabschluss lediglich dem für ihn zuständigen Hauptzollamt schriftlich an.</w:t>
      </w:r>
    </w:p>
    <w:p>
      <w:r>
        <w:t xml:space="preserve">(2) Die Entscheidung ergeht durch schriftlichen Bescheid. Für die Bekanntgabe der Bescheide gilt § 122 der Abgabenordnung sinngemäß. Mit der Verarbeitung darf nicht vor Bekanntgabe des Bescheides begonnen werden.</w:t>
      </w:r>
    </w:p>
    <w:p>
      <w:r>
        <w:rPr>
          <w:color w:val="555555"/>
          <w:sz w:val="17"/>
        </w:rPr>
        <w:t xml:space="preserve">Zitiervorschlag: § 5 ZuckProdAbgV 1983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https://recht.nulegal.eu/gesetze/ZuckProdAbgV%201983/5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