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ZuckDenatPräV — Anträge</w:t>
      </w:r>
    </w:p>
    <w:p>
      <w:r>
        <w:rPr>
          <w:color w:val="555555"/>
          <w:sz w:val="18"/>
        </w:rPr>
        <w:t xml:space="preserve">Zucker-Denaturierungsprämienverordnung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(1) Die Erteilung eines Prämienbescheides ist nach vorgeschriebenem Muster bei der Bundesanstalt zu beantragen.</w:t>
      </w:r>
    </w:p>
    <w:p>
      <w:r>
        <w:t xml:space="preserve">(2) Die Mitteilung über die Übertragung des sich aus dem Prämienbescheid ergebenden Rechtes auf einen Dritten ist unter gleichzeitiger Vorlage des Prämienbescheides an die Bundesanstalt zu richten.</w:t>
      </w:r>
    </w:p>
    <w:p>
      <w:r>
        <w:rPr>
          <w:color w:val="555555"/>
          <w:sz w:val="17"/>
        </w:rPr>
        <w:t xml:space="preserve">Zitiervorschlag: § 4 ZuckDenatPräV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https://recht.nulegal.eu/gesetze/ZuckDenatPr%C3%A4V/4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