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ZuVLFG (Bayern) — Ermächtigung zum Erlass von Rechtsverordnungen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wird ermächtigt, durch Rechtsverordnung die erforderlichen Regelungen zu treffen über</w:t>
      </w:r>
    </w:p>
    <w:p>
      <w:r>
        <w:t xml:space="preserve">1. die Anforderungen an Herkunftsvergleiche einschließlich des Verfahrens zu ihrer Durchführung und die Veröffentlichung der Ergebnisse (Art. 2 Abs. 2),</w:t>
      </w:r>
    </w:p>
    <w:p>
      <w:r>
        <w:t xml:space="preserve">2. die Anforderungen an Prüfungen für Bienen einschließlich des Verfahrens zu ihrer Durchführung und die Veröffentlichung der Ergebnisse sowie die Anerkennung als Bienenbelegstelle (Art. 5 Abs. 1 und 3).</w:t>
      </w:r>
    </w:p>
    <w:p>
      <w:r>
        <w:rPr>
          <w:color w:val="555555"/>
          <w:sz w:val="17"/>
        </w:rPr>
        <w:t xml:space="preserve">Zitiervorschlag: Art 6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