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ZuVLFG (Bayern) — Kleinbetragsregelungen für Forderungen und Verzinsung von Rückforderungen</w:t>
      </w:r>
    </w:p>
    <w:p>
      <w:r>
        <w:rPr>
          <w:color w:val="555555"/>
          <w:sz w:val="18"/>
        </w:rPr>
        <w:t xml:space="preserve">Land- und forstwirtschaftliches Zuständigkeits- und 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Ungeachtet der Regelungen von § 10 Abs. 1 und 2 des Marktorganisationsgesetzes (MOG) soll bei den Interventionen und Maßnahmen des Art. 4 der Verordnung (EU) 2021/2116 eine Aufhebung des Bewilligungsbescheids unterbleiben, wenn der dadurch entstehende Rückforderungsbetrag 500 € nicht übersteigt.</w:t>
      </w:r>
    </w:p>
    <w:p>
      <w:r>
        <w:t xml:space="preserve">(2) Ansprüche auf Erstattung von Fördermitteln im Anwendungsbereich eines GAP-Strategieplans gemäß Art. 104 der Verordnung (EU) 2021/2115 sind abweichend von Art. 49a Abs. 3 Satz 1 des Bayerischen Verwaltungsverfahrensgesetzes mit Ablauf einer Zahlungsfrist zu verzinsen. Die Zahlungsfrist endet einen Monat nach Bekanntgabe des Verwaltungsakts, mit dem der Anspruch geltend gemacht wird. Die Sätze 1 und 2 gelten nicht, soweit sich die Verzinsung nach § 14 MOG richtet.</w:t>
      </w:r>
    </w:p>
    <w:p>
      <w:r>
        <w:t xml:space="preserve">(3) Zinsen sind bei einer Rückforderung von Interventionen und Maßnahmen des Art. 4 der Verordnung (EU) 2021/2116 nur zu erheben, wenn der Gesamtzinsanspruch mehr als 250 € beträgt.</w:t>
      </w:r>
    </w:p>
    <w:p>
      <w:r>
        <w:rPr>
          <w:color w:val="555555"/>
          <w:sz w:val="17"/>
        </w:rPr>
        <w:t xml:space="preserve">Zitiervorschlag: Art 17 ZuVLFG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https://recht.nulegal.eu/gesetze/ZuVLFG/17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