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ZuVLFG (Bayern) — Einschränkung von Grundrechten</w:t>
      </w:r>
    </w:p>
    <w:p>
      <w:r>
        <w:rPr>
          <w:color w:val="555555"/>
          <w:sz w:val="18"/>
        </w:rPr>
        <w:t xml:space="preserve">Land- und forstwirtschaftliches Zuständigkeits- und 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kann das Grundrecht der Unverletzlichkeit der Wohnung eingeschränkt werden (Art. 13 des Grundgesetzes, Art. 106 Abs. 3 der Verfassung).</w:t>
      </w:r>
    </w:p>
    <w:p>
      <w:r>
        <w:rPr>
          <w:color w:val="555555"/>
          <w:sz w:val="17"/>
        </w:rPr>
        <w:t xml:space="preserve">Zitiervorschlag: Art 16 ZuVLFG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https://recht.nulegal.eu/gesetze/ZuVLFG/16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