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ZuVLFG (Bayern) — Saatgutverkehrsrecht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Anerkennungsstelle im Sinn des § 2 Abs. 1 Nr. 13 des Saatgutverkehrsgesetzes (SaatG) und zuständige Behörde nach § 3b Abs. 1, § 11 Abs. 3 Nr. 1, § 22 Abs. 1 Nr. 2, § 22a Satz 2 Nr. 5, § 27 Abs. 1 Nr. 1 und § 28 SaatG ist</w:t>
      </w:r>
    </w:p>
    <w:p>
      <w:r>
        <w:t xml:space="preserve">1. für Pflanzgut von Reben nach Nr. 1.6 der Anlage zu § 1 der Verordnung über das Artenverzeichnis zum Saatgutverkehrsgesetz die Landesanstalt für Weinbau und Gartenbau,</w:t>
      </w:r>
    </w:p>
    <w:p>
      <w:r>
        <w:t xml:space="preserve">2. für das Übrige in der in Nr. 1 genannten Anlage aufgeführte Saatgut und Vermehrungsmaterial die Landesanstalt für Landwirtschaft.</w:t>
      </w:r>
    </w:p>
    <w:p>
      <w:r>
        <w:t xml:space="preserve">(2) Nachkontrollstelle im Sinn des § 2 Abs. 1 Nr. 14 SaatG und zuständige Behörde nach § 12 Abs. 6 SaatG ist die Landesanstalt für Landwirtschaft.</w:t>
      </w:r>
    </w:p>
    <w:p>
      <w:r>
        <w:rPr>
          <w:color w:val="555555"/>
          <w:sz w:val="17"/>
        </w:rPr>
        <w:t xml:space="preserve">Zitiervorschlag: Art 14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