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 ZuVLFG (Bayern) — Ökologischer Landbau</w:t>
      </w:r>
    </w:p>
    <w:p>
      <w:r>
        <w:rPr>
          <w:color w:val="555555"/>
          <w:sz w:val="18"/>
        </w:rPr>
        <w:t xml:space="preserve">Land- und forstwirtschaftliches Zuständigkeits- und Vollzugsgesetz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Landesanstalt für Landwirtschaft ist</w:t>
      </w:r>
    </w:p>
    <w:p>
      <w:r>
        <w:t xml:space="preserve">1. zuständige Behörde im Sinn des Öko-Landbaugesetzes (ÖLG),</w:t>
      </w:r>
    </w:p>
    <w:p>
      <w:r>
        <w:t xml:space="preserve">2. zuständige Behörde und Kontrollbehörde im Sinn der Verordnung (EU) 2018/848 einschließlich der zu ihrer Durchführung erlassenen Rechtsakte der Europäischen Union,</w:t>
      </w:r>
    </w:p>
    <w:p>
      <w:r>
        <w:t xml:space="preserve">3. Kontrollbehörde für ökologische/biologische Produktion und zuständige Behörde im Sinn der Verordnung (EU) 2017/625 einschließlich der zu ihrer Durchführung erlassenen Rechtsakte der Europäischen Union,</w:t>
      </w:r>
    </w:p>
    <w:p>
      <w:r>
        <w:t xml:space="preserve">soweit nicht durch Bundesrecht oder durch Rechtsverordnung nach § 2 Abs. 3 ÖLG etwas anderes bestimmt ist.</w:t>
      </w:r>
    </w:p>
    <w:p>
      <w:r>
        <w:t xml:space="preserve">(2) Landesrechtlich auf andere Stellen übertragene Aufgaben kann die Landesanstalt für Landwirtschaft im Einzelfall auch selbst wahrnehmen.</w:t>
      </w:r>
    </w:p>
    <w:p>
      <w:r>
        <w:rPr>
          <w:color w:val="555555"/>
          <w:sz w:val="17"/>
        </w:rPr>
        <w:t xml:space="preserve">Zitiervorschlag: Art 13 ZuVLFG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https://recht.nulegal.eu/gesetze/ZuVLFG/13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