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ZuVLFG (Bayern) — Aufgaben des bayerischen Tierzuchtrechts</w:t>
      </w:r>
    </w:p>
    <w:p>
      <w:r>
        <w:rPr>
          <w:color w:val="555555"/>
          <w:sz w:val="18"/>
        </w:rPr>
        <w:t xml:space="preserve">Land- und forstwirtschaftliches Zuständigkeits- und Vollzugsgesetz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Aufgaben des bayerischen Tierzuchtrechts und Ziele der Förderung der bayerischen Tierzucht sind</w:t>
      </w:r>
    </w:p>
    <w:p>
      <w:r>
        <w:t xml:space="preserve">1. die weitere Verbesserung der Gesundheit und Robustheit landwirtschaftlicher Nutztiere in Bayern, der Erhalt landestypischer Nutztierrassen, insbesondere Zweinutzungsrassen, in ihrer Vielfalt sowie die Vermeidung von Erbfehlern,</w:t>
      </w:r>
    </w:p>
    <w:p>
      <w:r>
        <w:t xml:space="preserve">2. die Gewährleistung günstiger Voraussetzungen für eine nachhaltige, standortangepasste und innovative Tierzucht sowie die Erhaltung der bäuerlichen Zucht und</w:t>
      </w:r>
    </w:p>
    <w:p>
      <w:r>
        <w:t xml:space="preserve">3. die neutrale, wissenschaftlich fundierte und umfassende Information von Züchtern und Abnehmern über die genetische Qualität von Zuchttieren und Zuchtmaterial.</w:t>
      </w:r>
    </w:p>
    <w:p>
      <w:r>
        <w:rPr>
          <w:color w:val="555555"/>
          <w:sz w:val="17"/>
        </w:rPr>
        <w:t xml:space="preserve">Zitiervorschlag: Art 1 ZuVLFG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https://recht.nulegal.eu/gesetze/ZuVLFG/1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