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Anhang 2 ZuV 2020 — (zu § 7 Absatz 3) Anforderungen an die sachverständigen Stellen und die Prüfung</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(Fundstelle: BGBl. I 2011, 1940 - 1941)</w:t>
      </w:r>
    </w:p>
    <w:p>
      <w:r>
        <w:t xml:space="preserve">Teil 1Anforderungen an die sachverständigen Stellen</w:t>
      </w:r>
    </w:p>
    <w:p>
      <w:r>
        <w:t xml:space="preserve">Die sachverständige Stelle muss vom Anlagenbetreiber unabhängig sein, ihre Aufgabe objektiv und unparteiisch ausführen und vertraut sein mit</w:t>
      </w:r>
    </w:p>
    <w:p>
      <w:pPr>
        <w:ind w:left="420"/>
      </w:pPr>
      <w:r>
        <w:t xml:space="preserve">1. den für die zu prüfenden Tätigkeiten relevanten Rechts- und Verwaltungsvorschriften, insbesondere mit der Richtlinie 2003/87/EG, den Monitoring-Leitlinien, den einheitlichen EU-Zuteilungsregeln, dem Treibhausgas-Emissionshandelsgesetz, der Datenerhebungsverordnung 2020 sowie dieser Verordnung und den einschlägigen Normen;</w:t>
      </w:r>
    </w:p>
    <w:p>
      <w:pPr>
        <w:ind w:left="420"/>
      </w:pPr>
      <w:r>
        <w:t xml:space="preserve">2. dem Zustandekommen aller Informationen über die einzelnen Parameter und Emissionsquellen in der Anlage, insbesondere im Hinblick auf Erfassung, messtechnische Erhebung, Berechnung und Übermittlung von Daten.</w:t>
      </w:r>
    </w:p>
    <w:p>
      <w:r>
        <w:t xml:space="preserve">Teil 2Anforderungen an die Prüfung</w:t>
      </w:r>
    </w:p>
    <w:p>
      <w:r>
        <w:t xml:space="preserve">I. Allgemeine Grundsätze</w:t>
      </w:r>
    </w:p>
    <w:p>
      <w:pPr>
        <w:ind w:left="420"/>
      </w:pPr>
      <w:r>
        <w:t xml:space="preserve">1. Planung und Durchführung der Prüfung müssen unter Beachtung professioneller Skepsis erfolgen und insbesondere solche Umstände berücksichtigen, die zu wesentlichen Fehlern und Falschangaben der vorgelegten Informationen und Daten führen könnten.</w:t>
      </w:r>
    </w:p>
    <w:p>
      <w:pPr>
        <w:ind w:left="420"/>
      </w:pPr>
      <w:r>
        <w:t xml:space="preserve">2. Im Rahmen des Verifizierungsverfahrens dürfen vom Anlagenbetreiber mitgeteilte Parameter und Daten nur validiert werden, wenn sie mit einem hohen Grad an Sicherheit bestimmt werden konnten. Zur Gewährleistung eines hohen Grades an Sicherheit muss die sachverständige Stelle bei der Prüfung der vom Anlagenbetreiber vorgelegten Nachweise zur Überzeugung gelangen, dass</w:t>
      </w:r>
    </w:p>
    <w:p>
      <w:pPr>
        <w:ind w:left="780"/>
      </w:pPr>
      <w:r>
        <w:t xml:space="preserve">a) die mitgeteilten Parameter und Daten zuverlässig und schlüssig sind,</w:t>
      </w:r>
    </w:p>
    <w:p>
      <w:pPr>
        <w:ind w:left="780"/>
      </w:pPr>
      <w:r>
        <w:t xml:space="preserve">b) die Daten in Übereinstimmung mit den geltenden Normen, Leitlinien und wissenschaftlichen Standards erhoben worden sind und</w:t>
      </w:r>
    </w:p>
    <w:p>
      <w:pPr>
        <w:ind w:left="780"/>
      </w:pPr>
      <w:r>
        <w:t xml:space="preserve">c) die einschlägigen Aufzeichnungen und Dokumentationen der Anlage vollständig und schlüssig sind.</w:t>
      </w:r>
    </w:p>
    <w:p>
      <w:pPr>
        <w:ind w:left="420"/>
      </w:pPr>
      <w:r>
        <w:t xml:space="preserve">3. Die sachverständige Stelle erhält Zugang zu allen Standorten und zu allen Informationen, die mit dem Gegenstand der Prüfung in Zusammenhang stehen.</w:t>
      </w:r>
    </w:p>
    <w:p>
      <w:r>
        <w:t xml:space="preserve">II. Methodik</w:t>
      </w:r>
    </w:p>
    <w:p>
      <w:pPr>
        <w:ind w:left="420"/>
      </w:pPr>
      <w:r>
        <w:t xml:space="preserve">1. Die Prüfung basiert auf einer strategischen Analyse aller Tätigkeiten, die in der Anlage durchgeführt werden. Dazu verschafft sich die sachverständige Stelle insbesondere ein vollständiges und detailliertes Verständnis sämtlicher relevanter Tätigkeiten und ihrer Bedeutung für die Zuteilung.</w:t>
      </w:r>
    </w:p>
    <w:p>
      <w:pPr>
        <w:ind w:left="420"/>
      </w:pPr>
      <w:r>
        <w:t xml:space="preserve">2. Bei der Prüfung sind sämtliche relevanten Informationen der Emissionsgenehmigung, der immissionsschutzrechtlichen Genehmigung oder sonstiger Betriebsgenehmigungen zu berücksichtigen. Dies gilt insbesondere auch hinsichtlich der Bewertung der installierten Anfangskapazität von Zuteilungselementen.</w:t>
      </w:r>
    </w:p>
    <w:p>
      <w:pPr>
        <w:ind w:left="420"/>
      </w:pPr>
      <w:r>
        <w:t xml:space="preserve">3. Im Rahmen einer Risikoanalyse sind die inhärenten Risiken und die Kontrollrisiken, die sich jeweils aus dem Umfang und der Komplexität der Tätigkeiten des Anlagenbetreibers und den Zuteilungsparametern ergeben und zu wesentlichen Falschangaben führen könnten, sowie die Entdeckungsrisiken zu untersuchen und zu bewerten. Basierend auf den Ergebnissen der strategischen Analyse und der Risikoanalyse ist der Prüfplan aufzustellen.</w:t>
      </w:r>
    </w:p>
    <w:p>
      <w:pPr>
        <w:ind w:left="420"/>
      </w:pPr>
      <w:r>
        <w:t xml:space="preserve">4. Für die Prüfung ist sowohl eine technische Vor-Ort-Besichtigung der Anlage als auch eine Vor-Ort-Einsichtnahme in Nachweise und Belege erforderlich, um das Funktionieren von Zählern und Überwachungssystemen zu kontrollieren, Interviews durchzuführen, Stichproben und hinreichende Informationen zu erheben sowie Belege zu überprüfen. Die sachverständige Stelle kann auf eine Vor-Ort-Besichtigung verzichten, soweit die in Satz 1 genannten Umstände bereits Gegenstand einer nicht länger als zwei Jahre zurückliegenden Vor-Ort-Überprüfung durch die sachverständige Stelle waren.</w:t>
      </w:r>
    </w:p>
    <w:p>
      <w:pPr>
        <w:ind w:left="420"/>
      </w:pPr>
      <w:r>
        <w:t xml:space="preserve">5. Bei der Umsetzung des Prüfplans sind anhand der vorgesehenen Probenahmeverfahren, Durchgangstests, Dokumentenprüfungen, Analyseverfahren und Datenprüfungen sämtliche Daten zu erheben und Informationen einzuholen, auf die das spätere Prüfgutachten gestützt wird.</w:t>
      </w:r>
    </w:p>
    <w:p>
      <w:pPr>
        <w:ind w:left="420"/>
      </w:pPr>
      <w:r>
        <w:t xml:space="preserve">6. Die sachverständige Stelle fordert den Anlagenbetreiber auf, alle fehlenden Daten oder fehlende Teile des Prüfpfads zu vervollständigen, Abweichungen bei den Parametern oder Emissionsdaten zu erklären sowie Berechnungen erneut durchzuführen oder mitgeteilte Daten anzupassen.</w:t>
      </w:r>
    </w:p>
    <w:p>
      <w:pPr>
        <w:ind w:left="420"/>
      </w:pPr>
      <w:r>
        <w:t xml:space="preserve">7. Der Sachverständige hat wesentliche Prüftätigkeiten selbst auszuführen. Soweit er Hilfstätigkeiten delegiert, hat er dies in seinem externen Prüfbericht zu vermerken.</w:t>
      </w:r>
    </w:p>
    <w:p>
      <w:r>
        <w:t xml:space="preserve">III. Bericht</w:t>
      </w:r>
    </w:p>
    <w:p>
      <w:pPr>
        <w:ind w:left="420"/>
      </w:pPr>
      <w:r>
        <w:t xml:space="preserve">1. Die sachverständige Stelle erstellt einen internen Prüfbericht, in dem dokumentiert und nachgewiesen wird, dass die strategische Analyse, die Risikoanalyse und der Prüfplan vollständig durchgeführt und umgesetzt wurden. Der interne Prüfbericht muss hinreichende Informationen zu den tragenden Erwägungen des Prüfgutachtens enthalten. Der interne Prüfbericht dient auch dazu, der zuständigen Behörde und der Aufsichtsbehörde eine etwaige Bewertung der Prüfung zu erleichtern.</w:t>
      </w:r>
    </w:p>
    <w:p>
      <w:pPr>
        <w:ind w:left="420"/>
      </w:pPr>
      <w:r>
        <w:t xml:space="preserve">2. Die Entscheidung, ob die mitgeteilten Parameter wesentliche Falschangaben enthalten oder irgendwelche anderen Fragen offengeblieben sind, die für das Prüfgutachten von Belang sind, ist auf der Grundlage der Ergebnisse und Feststellungen des internen Prüfberichts zu treffen.</w:t>
      </w:r>
    </w:p>
    <w:p>
      <w:pPr>
        <w:ind w:left="420"/>
      </w:pPr>
      <w:r>
        <w:t xml:space="preserve">3. Prüfmethode, Feststellungen und Prüfgutachten sind in einem externen Prüfbericht zusammenzufassen, welcher durch den Betreiber zusammen mit dem Zuteilungsantrag an die zuständige Behörde übermittelt wird. Der externe Prüfbericht muss in nachvollziehbarer Weise Inhalt und Ergebnis der Prüfung erkennen lassen. Er muss Angaben zu sämtlichen Feldern enthalten, die in der elektronischen Formatvorlage zur Ausfüllung durch die sachverständige Stelle vorgesehen sind. Im elektronischen Format sind die jeweils zutreffenden Prüfvermerke auszuwählen. Hat die sachverständige Stelle in den Antragsangaben Fehler oder Abweichungen von den rechtlichen Anforderungen festgestellt, so muss sie im externen Prüfbericht darauf hinweisen und erläutern, warum sie das Testat trotzdem erteilen konnte. Soweit eine Überprüfung nicht oder nur bedingt möglich ist, ist im externen Prüfbericht zu vermerken, inwieweit der Nachweis geführt werden konnte. Es ist zu begründen, warum die eingeschränkte Prüfbarkeit der Erteilung des Testats nicht entgegenstand.</w:t>
      </w:r>
    </w:p>
    <w:p>
      <w:r>
        <w:rPr>
          <w:color w:val="555555"/>
          <w:sz w:val="17"/>
        </w:rPr>
        <w:t xml:space="preserve">Zitiervorschlag: Anhang 2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https://recht.nulegal.eu/gesetze/ZuV%202020/anhang-2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