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ZuV 2020 — Anforderungen an die Verifizierung von Zuteilungsanträgen</w:t>
      </w:r>
    </w:p>
    <w:p>
      <w:r>
        <w:rPr>
          <w:color w:val="555555"/>
          <w:sz w:val="18"/>
        </w:rPr>
        <w:t xml:space="preserve">Zuteilungsverordnung 2020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tatsachenbezogenen Angaben im Zuteilungsantrag sowie die Erhebungsmethodik sind von einer sachverständigen Stelle im Sinne des § 21 des Treibhausgas-Emissionshandelsgesetzes im Rahmen der Verifizierung des Zuteilungsantrags nach § 9 Absatz 2 Satz 6 des Treibhausgas-Emissionshandelsgesetzes zu überprüfen. Die Prüfung betrifft insbesondere die Zuverlässigkeit, Glaubhaftigkeit und Genauigkeit der von den Anlagenbetreibern übermittelten Daten. Dabei ist die Aufteilung der Anlage in Zuteilungselemente gesondert zu bestätigen.</w:t>
      </w:r>
    </w:p>
    <w:p>
      <w:r>
        <w:t xml:space="preserve">(2) Die sachverständige Stelle muss im Prüfbericht darlegen, ob der Antrag und die darin enthaltenen Daten mit hinreichender Sicherheit frei von wesentlichen Falschangaben und Abweichungen von den Anforderungen des Treibhausgas-Emissionshandelsgesetzes und dieser Verordnung sind.</w:t>
      </w:r>
    </w:p>
    <w:p>
      <w:r>
        <w:t xml:space="preserve">(3) Die sachverständige Stelle muss die in Anhang 2 Teil 1 geregelten Anforderungen erfüllen. Unbeschadet der Anforderungen der Monitoring-Leitlinien gelten für die sachverständige Stelle im Rahmen der Prüfung nach Absatz 1 die in Anhang 2 Teil 2 näher geregelten Anforderungen.</w:t>
      </w:r>
    </w:p>
    <w:p>
      <w:r>
        <w:t xml:space="preserve">(4) Die sachverständige Stelle hat in ihrem externen Prüfbericht an Eides statt zu versichern, dass</w:t>
      </w:r>
    </w:p>
    <w:p>
      <w:pPr>
        <w:ind w:left="420"/>
      </w:pPr>
      <w:r>
        <w:t xml:space="preserve">1. bei der Verifizierung des Zuteilungsantrags die Unabhängigkeit und Unparteilichkeit ihrer Tätigkeit nach den jeweiligen Regelungen ihrer Zulassung als Umweltgutachter oder ihrer Bestellung als Sachverständiger gemäß § 36 der Gewerbeordnung gewahrt war und</w:t>
      </w:r>
    </w:p>
    <w:p>
      <w:pPr>
        <w:ind w:left="420"/>
      </w:pPr>
      <w:r>
        <w:t xml:space="preserve">2. sie bei der Erstellung des Zuteilungsantrags oder der Entwicklung der Erhebungsmethodik nicht mitgewirkt hat.</w:t>
      </w:r>
    </w:p>
    <w:p>
      <w:r>
        <w:t xml:space="preserve">Für Sachverständige, die auf Grund der Gleichwertigkeit ihrer Akkreditierung in einem anderen Mitgliedstaat nach § 21 Absatz 3 Satz 1 des Treibhausgas-Emissionshandelsgesetzes bekannt gegeben wurden, gilt Satz 1 entsprechend.</w:t>
      </w:r>
    </w:p>
    <w:p>
      <w:r>
        <w:t xml:space="preserve">(5) Die sachverständige Stelle hat im externen Prüfbericht zu bestätigen, dass der geprüfte Antrag weder Überschneidungen zwischen Zuteilungselementen noch Doppelzählungen enthält.</w:t>
      </w:r>
    </w:p>
    <w:p>
      <w:r>
        <w:rPr>
          <w:color w:val="555555"/>
          <w:sz w:val="17"/>
        </w:rPr>
        <w:t xml:space="preserve">Zitiervorschlag: § 7 ZuV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https://recht.nulegal.eu/gesetze/ZuV%202020/7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