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ZuV 2020 — Übergangsregelung zur Einbeziehung von Polymerisationsanlagen</w:t>
      </w:r>
    </w:p>
    <w:p>
      <w:r>
        <w:rPr>
          <w:color w:val="555555"/>
          <w:sz w:val="18"/>
        </w:rPr>
        <w:t xml:space="preserve">Zuteilungsverordnung 2020</w:t>
      </w:r>
    </w:p>
    <w:p>
      <w:r>
        <w:rPr>
          <w:color w:val="555555"/>
          <w:sz w:val="18"/>
        </w:rPr>
        <w:t xml:space="preserve">Stand: 10.06.2019 (konsolidierte Textfassung, kein amtliches Inkrafttretensdatum)</w:t>
      </w:r>
    </w:p>
    <w:p>
      <w:r>
        <w:t xml:space="preserve">Für Polymerisationsanlagen gelten für die Jahre 2018 bis 2020 folgende Übergangsregelungen:</w:t>
      </w:r>
    </w:p>
    <w:p>
      <w:pPr>
        <w:ind w:left="420"/>
      </w:pPr>
      <w:r>
        <w:t xml:space="preserve">1. Als Bestandsanlage gelten alle Anlagen, denen vor dem 1. Juli 2011 eine Genehmigung zur Emission von Treibhausgasen erteilt wurde; als Neuanlage gelten alle Anlagen, denen zum ersten Mal nach dem 30. Juni 2011 eine Genehmigung zur Emission von Treibhausgasen erteilt wurde.</w:t>
      </w:r>
    </w:p>
    <w:p>
      <w:pPr>
        <w:ind w:left="420"/>
      </w:pPr>
      <w:r>
        <w:t xml:space="preserve">2. Abweichend von § 16 Absatz 1 sind Anträge auf kostenlose Zuteilung von Berechtigungen für neue Marktteilnehmer, die ihren Regelbetrieb oder ihren geänderten Betrieb in dem Zeitraum vom 1. Juli 2011 bis zum 30. September 2016 aufgenommen haben, bis zum Ablauf der Frist nach § 36 Absatz 3 des Treibhausgas-Emissionshandelsgesetzes zu stellen.</w:t>
      </w:r>
    </w:p>
    <w:p>
      <w:pPr>
        <w:ind w:left="420"/>
      </w:pPr>
      <w:r>
        <w:t xml:space="preserve">3. Abweichend von § 18 Absatz 4 werden für Emissionen der Zuteilungselemente, die vor Aufnahme des Regelbetriebs erfolgt sind, zusätzliche Berechtigungen nur zugeteilt, wenn die Emissionen nach dem 31. Dezember 2017 erfolgt sind.</w:t>
      </w:r>
    </w:p>
    <w:p>
      <w:pPr>
        <w:ind w:left="420"/>
      </w:pPr>
      <w:r>
        <w:t xml:space="preserve">4. Abweichend von § 21 Absatz 2 Satz 1 hebt die zuständige Behörde die Entscheidung über die Zuteilung von Berechtigungen an eine Anlage, die ihren Betrieb teilweise einstellt, ab dem auf die teilweise Betriebseinstellung folgenden Kalenderjahr, bei teilweisen Betriebseinstellungen vor dem 1. Januar 2017 ab dem Jahr 2018, von Amts wegen auf und passt die Zuteilung nach den Vorgaben nach § 21 an.</w:t>
      </w:r>
    </w:p>
    <w:p>
      <w:pPr>
        <w:ind w:left="420"/>
      </w:pPr>
      <w:r>
        <w:t xml:space="preserve">5. Abweichend von § 22 Absatz 1 hat der Anlagenbetreiber der zuständigen Behörde alle relevanten Informationen über geplante oder tatsächliche Änderungen der Kapazität, der Aktivitätsraten und des Betriebs der Anlage bis zum 31. Januar des Folgejahres, erstmals zum 31. Januar 2018, mitzuteilen.</w:t>
      </w:r>
    </w:p>
    <w:p>
      <w:r>
        <w:rPr>
          <w:color w:val="555555"/>
          <w:sz w:val="17"/>
        </w:rPr>
        <w:t xml:space="preserve">Zitiervorschlag: § 32 ZuV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https://recht.nulegal.eu/gesetze/ZuV%202020/32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