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ZuV 2020 — Ordnungswidrigkeiten</w:t>
      </w:r>
    </w:p>
    <w:p>
      <w:r>
        <w:rPr>
          <w:color w:val="555555"/>
          <w:sz w:val="18"/>
        </w:rPr>
        <w:t xml:space="preserve">Zuteilungsverordnung 2020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im Sinne des § 32 Absatz 1 Nummer 2 und Absatz 2 des Treibhausgas-Emissionshandelsgesetzes handelt, wer vorsätzlich oder fahrlässig entgegen § 5 Absatz 1, § 6 Absatz 4 Satz 1, § 10 Absatz 3 Satz 1 erster Halbsatz oder Satz 2 oder § 16 Absatz 2 eine Angabe nicht richtig macht.</w:t>
      </w:r>
    </w:p>
    <w:p>
      <w:r>
        <w:t xml:space="preserve">(2) Ordnungswidrig im Sinne des § 32 Absatz 3 Nummer 6 des Treibhausgas-Emissionshandelsgesetzes handelt, wer vorsätzlich oder fahrlässig</w:t>
      </w:r>
    </w:p>
    <w:p>
      <w:pPr>
        <w:ind w:left="420"/>
      </w:pPr>
      <w:r>
        <w:t xml:space="preserve">1. entgegen § 6 Absatz 2 Satz 3 einen Einzelnachweis nicht, nicht richtig oder nicht rechtzeitig vorweist,</w:t>
      </w:r>
    </w:p>
    <w:p>
      <w:pPr>
        <w:ind w:left="420"/>
      </w:pPr>
      <w:r>
        <w:t xml:space="preserve">2. entgegen § 22 Absatz 1 eine Mitteilung über Aktivitätsraten der Anlage nicht, nicht richtig, nicht vollständig oder nicht rechtzeitig macht,</w:t>
      </w:r>
    </w:p>
    <w:p>
      <w:pPr>
        <w:ind w:left="420"/>
      </w:pPr>
      <w:r>
        <w:t xml:space="preserve">3. entgegen § 22 Absatz 2 eine Mitteilung nicht, nicht richtig, nicht vollständig oder nicht rechtzeitig macht oder</w:t>
      </w:r>
    </w:p>
    <w:p>
      <w:pPr>
        <w:ind w:left="420"/>
      </w:pPr>
      <w:r>
        <w:t xml:space="preserve">4. entgegen § 29 Absatz 2 eine Angabe nicht, nicht richtig oder nicht vollständig macht.</w:t>
      </w:r>
    </w:p>
    <w:p>
      <w:r>
        <w:rPr>
          <w:color w:val="555555"/>
          <w:sz w:val="17"/>
        </w:rPr>
        <w:t xml:space="preserve">Zitiervorschlag: § 31 ZuV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https://recht.nulegal.eu/gesetze/ZuV%202020/31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