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ZuV 2020 — Angaben im Antrag auf Befreiung für Kleinemittenten</w:t>
      </w:r>
    </w:p>
    <w:p>
      <w:r>
        <w:rPr>
          <w:color w:val="555555"/>
          <w:sz w:val="18"/>
        </w:rPr>
        <w:t xml:space="preserve">Zuteilungsverordnung 2020</w:t>
      </w:r>
    </w:p>
    <w:p>
      <w:r>
        <w:rPr>
          <w:color w:val="555555"/>
          <w:sz w:val="18"/>
        </w:rPr>
        <w:t xml:space="preserve">Stand: 10.06.2019 (konsolidierte Textfassung, kein amtliches Inkrafttretensdatum)</w:t>
      </w:r>
    </w:p>
    <w:p>
      <w:r>
        <w:t xml:space="preserve">(1) Im Rahmen der Antragstellung nach § 27 Absatz 2 Satz 1 des Treibhausgas-Emissionshandelsgesetzes kann der Anlagenbetreiber im Fall der Auswahl des Ausgleichsbetrages als gleichwertige Maßnahme auf die Anrechnung des Kürzungsfaktors nach § 27 Absatz 3 Satz 2 des Treibhausgas-Emissionshandelsgesetzes verzichten; in diesem Fall sind die zusätzlich erforderlichen Angaben nach den Absätzen 3 und 4 sowie § 25 entbehrlich.</w:t>
      </w:r>
    </w:p>
    <w:p>
      <w:r>
        <w:t xml:space="preserve">(2) Der Antrag muss folgende Angaben enthalten:</w:t>
      </w:r>
    </w:p>
    <w:p>
      <w:pPr>
        <w:ind w:left="420"/>
      </w:pPr>
      <w:r>
        <w:t xml:space="preserve">1. die jährlichen Emissionen der Anlage in den Kalenderjahren 2008 bis 2010 und</w:t>
      </w:r>
    </w:p>
    <w:p>
      <w:pPr>
        <w:ind w:left="420"/>
      </w:pPr>
      <w:r>
        <w:t xml:space="preserve">2. bei Anlagen nach Anhang 1 Teil 2 Nummer 1 bis 6 des Treibhausgas-Emissionshandelsgesetzes die Feuerungswärmeleistung der Anlage.</w:t>
      </w:r>
    </w:p>
    <w:p>
      <w:r>
        <w:t xml:space="preserve">(3) Zusätzlich sind als Grundlage für den Nachweis spezifischer Emissionsminderungen folgende Angaben erforderlich:</w:t>
      </w:r>
    </w:p>
    <w:p>
      <w:pPr>
        <w:ind w:left="420"/>
      </w:pPr>
      <w:r>
        <w:t xml:space="preserve">1. die Produktionsmenge der Anlage nach § 24 in der Basisperiode;</w:t>
      </w:r>
    </w:p>
    <w:p>
      <w:pPr>
        <w:ind w:left="420"/>
      </w:pPr>
      <w:r>
        <w:t xml:space="preserve">2. die durch die Produktion nach Nummer 1 verursachten Emissionen in der Basisperiode;</w:t>
      </w:r>
    </w:p>
    <w:p>
      <w:pPr>
        <w:ind w:left="420"/>
      </w:pPr>
      <w:r>
        <w:t xml:space="preserve">3. für Anlagen nach Anhang 1 Teil 2 Nummer 7 bis 29 des Treibhausgas-Emissionshandelsgesetzes die Mengen an Strom und messbarer Wärme, die in der Basisperiode von anderen Anlagen bezogen oder an andere Anlagen abgegeben wurden, und</w:t>
      </w:r>
    </w:p>
    <w:p>
      <w:pPr>
        <w:ind w:left="420"/>
      </w:pPr>
      <w:r>
        <w:t xml:space="preserve">4. im Fall des gemeinsamen Minderungsnachweises nach Anhang 5 Teil 1 Nummer 1 Buchstabe b des Treibhausgas-Emissionshandelsgesetzes die Bezeichnung der einbezogenen Anlagen sowie der Name für den gemeinsamen Anlagenverbund.</w:t>
      </w:r>
    </w:p>
    <w:p>
      <w:r>
        <w:t xml:space="preserve">(4) Für Anlagen nach Anhang 1 Teil 2 Nummer 1 bis 6 des Treibhausgas-Emissionshandelsgesetzes sind die auf die Erzeugung von Strom, Wärme und mechanische Arbeit entfallenden Emissionen getrennt anzugeben. Für die Zuordnung der Emissionen zu den in gekoppelter Produktion hergestellten Produkten Strom und Wärme gilt Anhang 1 Teil 3; im Fall gekoppelter Produktion von mechanischer Arbeit und Wärme gilt Anhang 1 Teil 3 entsprechend.</w:t>
      </w:r>
    </w:p>
    <w:p>
      <w:r>
        <w:t xml:space="preserve">(5) Bei der Bestimmung von Emissionen nach den Absätzen 2 bis 4 sind die Vorgaben der Datenerhebungsverordnung 2020 zu beachten. § 5 Absatz 3 gilt entsprechend. Produktionsmengen sind bezogen auf die jährliche Nettomenge marktfähiger Produkteinheiten anzugeben, für Anlagen nach Anhang 1 Teil 2 Nummer 1 bis 6 des Treibhausgas-Emissionshandelsgesetzes in Megawattstunden und für andere Anlagen bezogen auf die Gesamtheit der unter der jeweiligen Tätigkeit hergestellten Produkte in Tonnen.</w:t>
      </w:r>
    </w:p>
    <w:p>
      <w:r>
        <w:t xml:space="preserve">(6) Basisperiode ist der nach § 8 Absatz 1 gewählte Bezugszeitraum. Für Anlagen, die im Jahr 2007 oder 2008 in Betrieb genommen wurden und als Bezugszeitraum nach § 8 Absatz 1 nicht die Jahre 2009 und 2010 gewählt haben, besteht die Basisperiode aus den zwei auf das Jahr der Inbetriebnahme folgenden Jahren.</w:t>
      </w:r>
    </w:p>
    <w:p>
      <w:r>
        <w:rPr>
          <w:color w:val="555555"/>
          <w:sz w:val="17"/>
        </w:rPr>
        <w:t xml:space="preserve">Zitiervorschlag: § 23 ZuV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https://recht.nulegal.eu/gesetze/ZuV%202020/23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