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ZuV 2020 — Änderungen des Betriebs einer Anlage</w:t>
      </w:r>
    </w:p>
    <w:p>
      <w:r>
        <w:rPr>
          <w:color w:val="555555"/>
          <w:sz w:val="18"/>
        </w:rPr>
        <w:t xml:space="preserve">Zuteilungsverordnung 2020</w:t>
      </w:r>
    </w:p>
    <w:p>
      <w:r>
        <w:rPr>
          <w:color w:val="555555"/>
          <w:sz w:val="18"/>
        </w:rPr>
        <w:t xml:space="preserve">Stand: 10.06.2019 (konsolidierte Textfassung, kein amtliches Inkrafttretensdatum)</w:t>
      </w:r>
    </w:p>
    <w:p>
      <w:r>
        <w:t xml:space="preserve">(1) Der Anlagenbetreiber hat der zuständigen Behörde alle relevanten Informationen über geplante oder tatsächliche Änderungen der Kapazität, der Aktivitätsraten und des Betriebs der Anlage bis zum 31. Januar des Folgejahres, erstmals zum 31. Januar 2013, mitzuteilen.</w:t>
      </w:r>
    </w:p>
    <w:p>
      <w:r>
        <w:t xml:space="preserve">(2) Im Fall einer wesentlichen Kapazitätsverringerung nach § 19 ist der Anlagenbetreiber verpflichtet, der zuständigen Behörde die stillgelegte Kapazität und die installierte Kapazität des Zuteilungselements nach der wesentlichen Kapazitätsverringerung unverzüglich mitzuteilen. Im Fall einer Betriebseinstellung nach § 20 Absatz 1 ist der Anlagenbetreiber verpflichtet, der zuständigen Behörde das Datum der Betriebseinstellung unverzüglich mitzuteilen.</w:t>
      </w:r>
    </w:p>
    <w:p>
      <w:r>
        <w:rPr>
          <w:color w:val="555555"/>
          <w:sz w:val="17"/>
        </w:rPr>
        <w:t xml:space="preserve">Zitiervorschlag: § 22 ZuV 2020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https://recht.nulegal.eu/gesetze/ZuV%202020/22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