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ZuV 2020 — Betriebseinstellungen</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Der Betrieb einer Anlage gilt als eingestellt, wenn eine oder mehrere der folgenden Bedingungen gegeben sind:</w:t>
      </w:r>
    </w:p>
    <w:p>
      <w:pPr>
        <w:ind w:left="420"/>
      </w:pPr>
      <w:r>
        <w:t xml:space="preserve">1. die Genehmigung zur Emission von Treibhausgasen ist erloschen;</w:t>
      </w:r>
    </w:p>
    <w:p>
      <w:pPr>
        <w:ind w:left="420"/>
      </w:pPr>
      <w:r>
        <w:t xml:space="preserve">2. die Genehmigung zur Emission von Treibhausgasen wurde aufgehoben;</w:t>
      </w:r>
    </w:p>
    <w:p>
      <w:pPr>
        <w:ind w:left="420"/>
      </w:pPr>
      <w:r>
        <w:t xml:space="preserve">3. der Betrieb der Anlage ist aus technischer Sicht unmöglich;</w:t>
      </w:r>
    </w:p>
    <w:p>
      <w:pPr>
        <w:ind w:left="420"/>
      </w:pPr>
      <w:r>
        <w:t xml:space="preserve">4. die Anlage ist nicht in Betrieb, war jedoch zuvor in Betrieb, und der Betrieb kann aus technischen Gründen nicht wieder aufgenommen werden;</w:t>
      </w:r>
    </w:p>
    <w:p>
      <w:pPr>
        <w:ind w:left="420"/>
      </w:pPr>
      <w:r>
        <w:t xml:space="preserve">5. die Anlage ist nicht in Betrieb, war jedoch zuvor in Betrieb, und der Anlagenbetreiber kann nicht garantieren, dass diese Anlage ihren Betrieb innerhalb von maximal sechs Monaten nach der Betriebseinstellung wieder aufnehmen wird; die zuständige Behörde kann auf Antrag diese Frist auf bis zu 18 Monate verlängern, wenn der Anlagenbetreiber nachweisen kann, dass die Anlage den Betrieb innerhalb von sechs Monaten nicht wieder aufnehmen kann auf Grund außergewöhnlicher und unvorhersehbarer Umstände, die selbst bei aller gebührenden Sorgfalt nicht hätten verhindert werden können und die außerhalb der Kontrolle des Betreibers der betreffenden Anlage liegen, insbesondere auf Grund von Umständen wie Naturkatastrophen, Krieg, Kriegsdrohungen, Terroranschlägen, Revolutionen, Unruhen, Sabotageakten oder Sachbeschädigungen.</w:t>
      </w:r>
    </w:p>
    <w:p>
      <w:r>
        <w:t xml:space="preserve">(2) Absatz 1 Nummer 5 gilt weder für Anlagen, die in Reserve oder Bereitschaft gehalten werden, noch für Saisonanlagen, soweit die Anlage über eine Genehmigung zur Emission von Treibhausgasen sowie über alle anderen vorgeschriebenen Betriebsgenehmigungen verfügt, regelmäßig gewartet wird und es technisch möglich ist, die Anlage kurzfristig in Betrieb zu nehmen, ohne dass hierzu physische Änderungen erforderlich sind.</w:t>
      </w:r>
    </w:p>
    <w:p>
      <w:r>
        <w:t xml:space="preserve">(3) Im Fall der Betriebseinstellung nach Absatz 1 hebt die zuständige Behörde ab dem Jahr, das auf das Jahr der Betriebseinstellung folgt, die Zuteilungsentscheidung von Amts wegen auf und stellt die Ausgabe von Berechtigungen an diese Anlage ein. Die Aufhebung der Zuteilungsentscheidung steht unter der auflösenden Bedingung einer Ablehnung durch die Europäische Kommission.</w:t>
      </w:r>
    </w:p>
    <w:p>
      <w:r>
        <w:rPr>
          <w:color w:val="555555"/>
          <w:sz w:val="17"/>
        </w:rPr>
        <w:t xml:space="preserve">Zitiervorschlag: § 20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