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ZuV 2020 — Begriffsbestimmungen</w:t>
      </w:r>
    </w:p>
    <w:p>
      <w:r>
        <w:rPr>
          <w:color w:val="555555"/>
          <w:sz w:val="18"/>
        </w:rPr>
        <w:t xml:space="preserve">Zuteilungsverordnung 2020</w:t>
      </w:r>
    </w:p>
    <w:p>
      <w:r>
        <w:rPr>
          <w:color w:val="555555"/>
          <w:sz w:val="18"/>
        </w:rPr>
        <w:t xml:space="preserve">Stand: 10.06.2019 (konsolidierte Textfassung, kein amtliches Inkrafttretensdatum)</w:t>
      </w:r>
    </w:p>
    <w:p>
      <w:r>
        <w:t xml:space="preserve">Für diese Verordnung gelten neben den Begriffsbestimmungen des § 3 des Treibhausgas-Emissionshandelsgesetzes die folgenden Begriffsbestimmungen:</w:t>
      </w:r>
    </w:p>
    <w:p>
      <w:pPr>
        <w:ind w:left="420"/>
      </w:pPr>
      <w:r>
        <w:t xml:space="preserve">1. Aufnahme des geänderten Betriebsder erste Tag eines durchgängigen 90-Tage-Zeitraums oder, falls der übliche Produktionszyklus in dem betreffenden Sektor keine durchgängige Produktion vorsieht, der erste Tag eines in sektorspezifische Produktionszyklen unterteilten 90-Tage-Zeitraums, in dem im Fall einer Kapazitätserweiterung die zusätzliche Produktionsleistung oder im Fall einer Kapazitätsverringerung die verbleibende verringerte Produktionsleistung des geänderten Zuteilungselements mit durchschnittlich mindestens 40 Prozent arbeitet, gegebenenfalls unter Berücksichtigung der für das geänderte Zuteilungselement spezifischen Betriebsbedingungen;</w:t>
      </w:r>
    </w:p>
    <w:p>
      <w:pPr>
        <w:ind w:left="420"/>
      </w:pPr>
      <w:r>
        <w:t xml:space="preserve">2. Aufnahme des Regelbetriebsder erste Tag eines durchgängigen 90-Tage-Zeitraums oder, falls der übliche Produktionszyklus in dem betreffenden Sektor keine durchgängige Produktion vorsieht, der erste Tag eines in sektorspezifische Produktionszyklen unterteilten 90-Tage-Zeitraums, in dem die Anlage mit durchschnittlich mindestens 40 Prozent der Produktionsleistung arbeitet, für die sie ausgelegt ist, gegebenenfalls unter Berücksichtigung der anlagenspezifischen Betriebsbedingungen;</w:t>
      </w:r>
    </w:p>
    <w:p>
      <w:pPr>
        <w:ind w:left="420"/>
      </w:pPr>
      <w:r>
        <w:t xml:space="preserve">3. Bestandsanlageeine Anlage, die eine oder mehrere der in Anhang 1 des Treibhausgas-Emissionshandelsgesetzes aufgeführten Tätigkeiten durchführt und der vor dem 1. Juli 2011 eine Genehmigung zur Emission von Treibhausgasen erteilt wurde;</w:t>
      </w:r>
    </w:p>
    <w:p>
      <w:pPr>
        <w:ind w:left="420"/>
      </w:pPr>
      <w:r>
        <w:t xml:space="preserve">4. einheitliche EU-ZuteilungsregelnBeschluss 2011/278/EU der Kommission vom 27. April 2011 zur Festlegung EU-weiter Übergangsvorschriften zur Harmonisierung der kostenlosen Zuteilung von Emissionszertifikaten gemäß Artikel 10a der Richtlinie 2003/87/EG des Europäischen Parlaments und des Rates (ABl. L 130 vom 17.5.2011, S. 1);</w:t>
      </w:r>
    </w:p>
    <w:p>
      <w:pPr>
        <w:ind w:left="420"/>
      </w:pPr>
      <w:r>
        <w:t xml:space="preserve">5. installierte Kapazität nach einer wesentlichen Kapazitätsänderungder Durchschnitt der zwei höchsten Monatsproduktionsmengen innerhalb der ersten sechs Monate nach Aufnahme des geänderten Betriebs, hochgerechnet auf ein Kalenderjahr;</w:t>
      </w:r>
    </w:p>
    <w:p>
      <w:pPr>
        <w:ind w:left="420"/>
      </w:pPr>
      <w:r>
        <w:t xml:space="preserve">6. messbare Wärmeein über einen Wärmeträger, beispielsweise Dampf, Heißluft, Wasser, Öl, Flüssigmetalle oder Salze, durch Rohre oder Leitungen transportierter Nettowärmefluss, für den ein Wärmezähler installiert wurde oder installiert werden könnte;</w:t>
      </w:r>
    </w:p>
    <w:p>
      <w:pPr>
        <w:ind w:left="420"/>
      </w:pPr>
      <w:r>
        <w:t xml:space="preserve">7. Monitoring-Leitliniendie Entscheidung 2007/589/EG der Kommission vom 18. Juli 2007 zur Festlegung von Leitlinien für die Überwachung und Berichterstattung betreffend Treibhausgasemissionen im Sinne der Richtlinie 2003/87/EG des Europäischen Parlaments und des Rates (Monitoring-Leitlinien) (ABl. L 229 vom 31.8.2007, S. 1), die zuletzt durch den Beschluss 2010/345/EU (ABl. L 155 vom 22.6.2010, S. 34) geändert worden ist;</w:t>
      </w:r>
    </w:p>
    <w:p>
      <w:pPr>
        <w:ind w:left="420"/>
      </w:pPr>
      <w:r>
        <w:t xml:space="preserve">8. NACE-Code Rev 1.1statistische Systematik der Wirtschaftszweige in der Europäischen Gemeinschaft „NACE Rev 1.1“ nach Anhang I der Verordnung (EWG) Nr. 3037/90 des Rates vom 9. Oktober 1990 betreffend die statistische Systematik der Wirtschaftszweige in der Europäischen Gemeinschaft (ABl. L 293 vom 24.10.1990, S. 1), die zuletzt durch die Verordnung (EG) Nr. 1893/2006 (ABl. L 393 vom 30.12.2006, S. 1) geändert worden ist;</w:t>
      </w:r>
    </w:p>
    <w:p>
      <w:pPr>
        <w:ind w:left="420"/>
      </w:pPr>
      <w:r>
        <w:t xml:space="preserve">9. NACE-Code Rev 2statistische Systematik der Wirtschaftszweige in der Europäischen Gemeinschaft „NACE Rev 2“ nach Anhang I der Verordnung (EG) Nr. 1893/2006 des Europäischen Parlaments und des Rates vom 20. Dezember 2006 zur Aufstellung der statistischen Systematik der Wirtschaftszweige NACE Revision 2 und zur Änderung der Verordnung (EWG) Nr. 3037/90 des Rates sowie einiger Verordnungen der EG über bestimmte Bereiche der Statistik (ABl. L 393 vom 30.12.2006, S. 1), die durch die Verordnung (EG) Nr. 295/2008 (ABl. L 97 vom 9.4.2008, S. 13) geändert worden ist;</w:t>
      </w:r>
    </w:p>
    <w:p>
      <w:pPr>
        <w:ind w:left="420"/>
      </w:pPr>
      <w:r>
        <w:t xml:space="preserve">10. Neuanlagenalle neuen Marktteilnehmer gemäß Artikel 3 Buchstabe h erster Gedankenstrich der Richtlinie 2003/87/EG;</w:t>
      </w:r>
    </w:p>
    <w:p>
      <w:pPr>
        <w:ind w:left="420"/>
      </w:pPr>
      <w:r>
        <w:t xml:space="preserve">11. nicht messbare Wärmejede Wärme mit Ausnahme messbarer Wärme;</w:t>
      </w:r>
    </w:p>
    <w:p>
      <w:pPr>
        <w:ind w:left="420"/>
      </w:pPr>
      <w:r>
        <w:t xml:space="preserve">12. PrivathaushaltGebäude, die überwiegend zu Wohnzwecken genutzt werden, oder anteilig andere Gebäude, soweit sie zu Wohnzwecken genutzt werden;</w:t>
      </w:r>
    </w:p>
    <w:p>
      <w:pPr>
        <w:ind w:left="420"/>
      </w:pPr>
      <w:r>
        <w:t xml:space="preserve">13. Prodcom-Code 2007Code gemäß Anhang der Verordnung (EG) Nr. 1165/2007 der Kommission vom 3. September 2007 zur Erstellung der „Prodcom-Liste“ der Industrieprodukte für 2007 gemäß der Verordnung (EWG) Nr. 3924/91 des Rates (ABl. L 268 vom 12.10.2007, S. 1);</w:t>
      </w:r>
    </w:p>
    <w:p>
      <w:pPr>
        <w:ind w:left="420"/>
      </w:pPr>
      <w:r>
        <w:t xml:space="preserve">14. Prodcom-Code 2010Code gemäß Anhang der Verordnung (EU) Nr. 860/2010 der Kommission vom 10. September 2010 zur Erstellung der „Prodcom-Liste“ der Industrieprodukte für 2010 gemäß der Verordnung (EWG) Nr. 3924/91 des Rates (ABl. L 262 vom 5.10.2010, S. 1);</w:t>
      </w:r>
    </w:p>
    <w:p>
      <w:pPr>
        <w:ind w:left="420"/>
      </w:pPr>
      <w:r>
        <w:t xml:space="preserve">15. Produkt-Emissionswertin Anhang I Nummer 1 Spalte 5 und Nummer 2 Spalte 5 der einheitlichen EU-Zuteilungsregeln unter der Bezeichnung „Benchmarkwert“ angegebene Anzahl Berechtigungen pro Produkteinheit;</w:t>
      </w:r>
    </w:p>
    <w:p>
      <w:pPr>
        <w:ind w:left="420"/>
      </w:pPr>
      <w:r>
        <w:t xml:space="preserve">16. Produktionsmengedie Menge erzeugter Produkteinheiten je Jahr, bei den in Anhang I oder Anhang II der einheitlichen EU-Zuteilungsregeln genannten Produkten bezogen auf die dort angegebenen Produktspezifikationen, im Übrigen bezogen auf die jährliche Nettomenge marktfähiger Produkteinheiten;</w:t>
      </w:r>
    </w:p>
    <w:p>
      <w:pPr>
        <w:ind w:left="420"/>
      </w:pPr>
      <w:r>
        <w:t xml:space="preserve">17. Restgaseine Mischung von Gasen, die unvollständig oxidierten Kohlenstoff als Nebenprodukt aus Prozessen gemäß Nummer 29 Buchstabe b enthält, so dass der chemische Energieinhalt ausreicht, um eigenständig ohne zusätzliche Brennstoffzufuhr zu verbrennen oder im Fall der Vermischung mit Brennstoffen mit höherem Heizwert signifikant zu der gesamten Energiezufuhr beizutragen;</w:t>
      </w:r>
    </w:p>
    <w:p>
      <w:pPr>
        <w:ind w:left="420"/>
      </w:pPr>
      <w:r>
        <w:t xml:space="preserve">18. Richtlinie 2003/87/EGRichtlinie 2003/87/EG des Europäischen Parlaments und des Rates vom 13. Oktober 2003 über ein System für den Handel mit Treibhausgasemissionszertifikaten in der Gemeinschaft und zur Änderung der Richtlinie 96/61/EG des Rates (ABl. L 275 vom 25.10.2003, S. 32), die zuletzt durch die Richtlinie 2009/29/EG (ABl. L 140 vom 5.6.2009, S. 63) geändert worden ist, in der jeweils geltenden Fassung;</w:t>
      </w:r>
    </w:p>
    <w:p>
      <w:pPr>
        <w:ind w:left="420"/>
      </w:pPr>
      <w:r>
        <w:t xml:space="preserve">19. Sektor mit VerlagerungsrisikoSektor oder Teilsektor, der einem erheblichen Risiko der Verlagerung von Kohlendioxid-Emissionen ausgesetzt ist, entsprechend den Festlegungen im Anhang des Beschlusses 2010/2/EU der Kommission vom 24. Dezember 2009 zur Festlegung eines Verzeichnisses der Sektoren und Teilsektoren, von denen angenommen wird, dass sie einem erheblichen Risiko einer Verlagerung von CO2-Emissionen ausgesetzt sind, gemäß der Richtlinie 2003/87/EG des Europäischen Parlaments und des Rates (ABl. L 1 vom 5.1.2010, S. 10) in der jeweils geltenden Fassung;</w:t>
      </w:r>
    </w:p>
    <w:p>
      <w:pPr>
        <w:ind w:left="420"/>
      </w:pPr>
      <w:r>
        <w:t xml:space="preserve">20. stillgelegte Kapazitätdie Differenz zwischen der installierten Anfangskapazität eines Zuteilungselements und der installierten Kapazität dieses Elements nach einer wesentlichen Kapazitätsverringerung;</w:t>
      </w:r>
    </w:p>
    <w:p>
      <w:pPr>
        <w:ind w:left="420"/>
      </w:pPr>
      <w:r>
        <w:t xml:space="preserve">21. StromerzeugerAnlage, die nach dem 31. Dezember 2004 Strom erzeugt und an Dritte verkauft hat und in der ausschließlich eine Tätigkeit gemäß Anhang 1 Teil 2 Nummer 1 bis 4 des Treibhausgas-Emissionshandelsgesetzes durchgeführt wird;</w:t>
      </w:r>
    </w:p>
    <w:p>
      <w:pPr>
        <w:ind w:left="420"/>
      </w:pPr>
      <w:r>
        <w:t xml:space="preserve">22. Wärmezählerein Gerät zur Messung und Aufzeichnung der erzeugten Wärmemenge auf der Basis des Durchflusses und der Temperaturen, insbesondere Wärmezähler im Sinne des Anhangs MI-004 der Richtlinie 2004/22/EG des Europäischen Parlaments und des Rates vom 31. März 2004 über Messgeräte (ABl. L 135 vom 30.4.2004, S. 1), die zuletzt durch die Richtlinie 2009/137/EG (ABl. L 294 vom 11.11.2009, S. 7) geändert worden ist;</w:t>
      </w:r>
    </w:p>
    <w:p>
      <w:pPr>
        <w:ind w:left="420"/>
      </w:pPr>
      <w:r>
        <w:t xml:space="preserve">23. wesentliche Kapazitätsänderungwesentliche Kapazitätserweiterung oder wesentliche Kapazitätsverringerung;</w:t>
      </w:r>
    </w:p>
    <w:p>
      <w:pPr>
        <w:ind w:left="420"/>
      </w:pPr>
      <w:r>
        <w:t xml:space="preserve">24. wesentliche Kapazitätserweiterungwesentliche Erhöhung der installierten Anfangskapazität eines Zuteilungselements, bei der folgende Merkmale vorliegen:</w:t>
      </w:r>
    </w:p>
    <w:p>
      <w:pPr>
        <w:ind w:left="780"/>
      </w:pPr>
      <w:r>
        <w:t xml:space="preserve">a) eine oder mehrere bestimmbare physische Änderungen der technischen Konfiguration des Zuteilungselements und seines Betriebs, ausgenommen der bloße Ersatz einer existierenden Produktionslinie, und</w:t>
      </w:r>
    </w:p>
    <w:p>
      <w:pPr>
        <w:ind w:left="780"/>
      </w:pPr>
      <w:r>
        <w:t xml:space="preserve">b) eine Erhöhung</w:t>
      </w:r>
    </w:p>
    <w:p>
      <w:pPr>
        <w:ind w:left="1140"/>
      </w:pPr>
      <w:r>
        <w:t xml:space="preserve">aa) der Kapazität des Zuteilungselements um mindestens 10 Prozent gegenüber seiner installierten Anfangskapazität vor der Änderung oder</w:t>
      </w:r>
    </w:p>
    <w:p>
      <w:pPr>
        <w:ind w:left="1140"/>
      </w:pPr>
      <w:r>
        <w:t xml:space="preserve">bb) der Aktivitätsrate des von der physischen Änderung im Sinne des Buchstaben a betroffenen Zuteilungselements in erheblichem Maß, die bei entsprechender Anwendung der für neue Marktteilnehmer geltenden Zuteilungsregel zu einer zusätzlichen Zuteilung von mehr als 50 000 Berechtigungen pro Jahr führen würde, sofern diese Anzahl Berechtigungen mindestens 5 Prozent der vorläufigen jährlichen Anzahl zuzuteilender Berechtigungen für dieses Zuteilungselement vor der Änderung entspricht;</w:t>
      </w:r>
    </w:p>
    <w:p>
      <w:pPr>
        <w:ind w:left="420"/>
      </w:pPr>
      <w:r>
        <w:t xml:space="preserve">25. wesentliche Kapazitätsverringerungeine oder mehrere bestimmbare physische Änderungen, die eine wesentliche Verringerung der installierten Anfangskapazität eines Zuteilungselements oder seiner Aktivitätsrate in derselben Größenordnung wie eine wesentliche Kapazitätserweiterung bewirken;</w:t>
      </w:r>
    </w:p>
    <w:p>
      <w:pPr>
        <w:ind w:left="420"/>
      </w:pPr>
      <w:r>
        <w:t xml:space="preserve">26. zusätzliche Kapazitätdie Differenz zwischen der installierten Kapazität nach einer wesentlichen Kapazitätserweiterung und der installierten Anfangskapazität eines Zuteilungselements;</w:t>
      </w:r>
    </w:p>
    <w:p>
      <w:pPr>
        <w:ind w:left="420"/>
      </w:pPr>
      <w:r>
        <w:t xml:space="preserve">27. Zuteilungselement mit Brennstoff-EmissionswertZusammenfassung von nicht von einem Zuteilungselement nach Nummer 28 oder Nummer 30 umfassten Eingangsströmen, Ausgangsströmen und diesbezüglichen Emissionen für Fälle der Erzeugung von nicht messbarer Wärme durch Brennstoffverbrennung, soweit die nicht messbare Wärme</w:t>
      </w:r>
    </w:p>
    <w:p>
      <w:pPr>
        <w:ind w:left="780"/>
      </w:pPr>
      <w:r>
        <w:t xml:space="preserve">a) zur Herstellung von Produkten, zur Erzeugung mechanischer Energie, zur Heizung oder zur Kühlung verbraucht wird oder</w:t>
      </w:r>
    </w:p>
    <w:p>
      <w:pPr>
        <w:ind w:left="780"/>
      </w:pPr>
      <w:r>
        <w:t xml:space="preserve">b) durch Sicherheitsfackeln erzeugt wird, soweit die damit verbundene Verbrennung von Pilotbrennstoffen und sehr variablen Mengen an Prozess- oder Restgasen genehmigungsrechtlich zur ausschließlichen Anlagenentlastung bei Betriebsstörungen oder anderen außergewöhnlichen Betriebszuständen vorgesehen ist;</w:t>
      </w:r>
    </w:p>
    <w:p>
      <w:pPr>
        <w:ind w:left="420"/>
      </w:pPr>
      <w:r>
        <w:t xml:space="preserve">hiervon jeweils ausgenommen ist nicht messbare Wärme, die zur Stromerzeugung verbraucht oder für die Stromerzeugung exportiert wird;</w:t>
      </w:r>
    </w:p>
    <w:p>
      <w:pPr>
        <w:ind w:left="420"/>
      </w:pPr>
      <w:r>
        <w:t xml:space="preserve">28. Zuteilungselement mit Produkt-EmissionswertZusammenfassung von Eingangsströmen, Ausgangsströmen und diesbezüglichen Emissionen im Zusammenhang mit der Herstellung eines Produktes, für das in Anhang I der einheitlichen EU-Zuteilungsregeln ein Emissionswert festgesetzt ist;</w:t>
      </w:r>
    </w:p>
    <w:p>
      <w:pPr>
        <w:ind w:left="420"/>
      </w:pPr>
      <w:r>
        <w:t xml:space="preserve">29. Zuteilungselement mit ProzessemissionenZusammenfassung von</w:t>
      </w:r>
    </w:p>
    <w:p>
      <w:pPr>
        <w:ind w:left="780"/>
      </w:pPr>
      <w:r>
        <w:t xml:space="preserve">a) Emissionen anderer Treibhausgase als Kohlendioxid, die außerhalb der Systemgrenzen eines Zuteilungselements mit Produkt-Emissionswert auftreten;</w:t>
      </w:r>
    </w:p>
    <w:p>
      <w:pPr>
        <w:ind w:left="780"/>
      </w:pPr>
      <w:r>
        <w:t xml:space="preserve">b) Kohlendioxid-Emissionen, die außerhalb der Systemgrenzen eines Zuteilungselements mit Produkt-Emissionswert auftreten, die aus einem der nachstehenden Prozesse resultieren:</w:t>
      </w:r>
    </w:p>
    <w:p>
      <w:pPr>
        <w:ind w:left="1140"/>
      </w:pPr>
      <w:r>
        <w:t xml:space="preserve">aa) chemische oder elektrolytische Reduktion von Metallverbindungen in Erzen, Konzentraten und Sekundärstoffen;</w:t>
      </w:r>
    </w:p>
    <w:p>
      <w:pPr>
        <w:ind w:left="1140"/>
      </w:pPr>
      <w:r>
        <w:t xml:space="preserve">bb) Entfernung von Unreinheiten aus Metallen und Metallverbindungen;</w:t>
      </w:r>
    </w:p>
    <w:p>
      <w:pPr>
        <w:ind w:left="1140"/>
      </w:pPr>
      <w:r>
        <w:t xml:space="preserve">cc) Zersetzung von Karbonaten, ausgenommen Karbonate für die Abgasreinigung;</w:t>
      </w:r>
    </w:p>
    <w:p>
      <w:pPr>
        <w:ind w:left="1140"/>
      </w:pPr>
      <w:r>
        <w:t xml:space="preserve">dd) chemische Synthesen, bei denen das kohlenstoffhaltige Material an der Reaktion teilnimmt und deren Hauptzweck nicht die Wärmeerzeugung ist;</w:t>
      </w:r>
    </w:p>
    <w:p>
      <w:pPr>
        <w:ind w:left="1140"/>
      </w:pPr>
      <w:r>
        <w:t xml:space="preserve">ee) Verwendung kohlenstoffhaltiger Zusatzstoffe oder Rohstoffe, deren Hauptzweck nicht die Wärmeerzeugung ist;</w:t>
      </w:r>
    </w:p>
    <w:p>
      <w:pPr>
        <w:ind w:left="1140"/>
      </w:pPr>
      <w:r>
        <w:t xml:space="preserve">ff) chemische oder elektrolytische Reduktion von Halbmetalloxiden oder Nichtmetalloxiden wie Siliziumoxiden und Phosphaten;</w:t>
      </w:r>
    </w:p>
    <w:p>
      <w:pPr>
        <w:ind w:left="780"/>
      </w:pPr>
      <w:r>
        <w:t xml:space="preserve">c) Emissionen aus der Verbrennung von unvollständig oxidiertem Kohlenstoff, der im Rahmen der unter Buchstabe b genannten Prozesse entsteht und zur Erzeugung von messbarer Wärme, nicht messbarer Wärme oder Strom genutzt wird, sofern Emissionen abgezogen werden, die bei der Verbrennung einer Menge Erdgas entstanden wären, die dem technisch nutzbaren Energiegehalt des unvollständig oxidierten Kohlenstoffs entspricht,</w:t>
      </w:r>
    </w:p>
    <w:p>
      <w:pPr>
        <w:ind w:left="420"/>
      </w:pPr>
      <w:r>
        <w:t xml:space="preserve">30. Zuteilungselement mit Wärme-EmissionswertZusammenfassung von nicht von einem Zuteilungselement nach Nummer 28 umfassten Eingangsströmen, Ausgangsströmen und diesbezüglichen Emissionen im Zusammenhang mit der Erzeugung messbarer Wärme oder deren Import aus einer unter den Anwendungsbereich des Treibhausgas-Emissionshandelsgesetzes fallenden Anlage, soweit die Wärme nicht aus Strom erzeugt oder bei der Herstellung von Salpetersäure angefallen ist und nicht zur Stromerzeugung verbraucht oder für die Stromerzeugung exportiert wird und die Wärme</w:t>
      </w:r>
    </w:p>
    <w:p>
      <w:pPr>
        <w:ind w:left="780"/>
      </w:pPr>
      <w:r>
        <w:t xml:space="preserve">a) in der Anlage außerhalb eines Zuteilungselements nach Nummer 28 zur Herstellung von Produkten, zur Erzeugung mechanischer Energie, zur Heizung oder Kühlung verbraucht wird oder</w:t>
      </w:r>
    </w:p>
    <w:p>
      <w:pPr>
        <w:ind w:left="780"/>
      </w:pPr>
      <w:r>
        <w:t xml:space="preserve">b) an Anlagen und andere Einrichtungen, die nicht unter den Anwendungsbereich des Treibhausgas-Emissionshandelsgesetzes fallen, abgegeben wird.</w:t>
      </w:r>
    </w:p>
    <w:p>
      <w:r>
        <w:rPr>
          <w:color w:val="555555"/>
          <w:sz w:val="17"/>
        </w:rPr>
        <w:t xml:space="preserve">Zitiervorschlag: § 2 ZuV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https://recht.nulegal.eu/gesetze/ZuV%202020/2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