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ZuV 2020 — Zuteilungsregel für Vinylchlorid-Monomer</w:t>
      </w:r>
    </w:p>
    <w:p>
      <w:r>
        <w:rPr>
          <w:color w:val="555555"/>
          <w:sz w:val="18"/>
        </w:rPr>
        <w:t xml:space="preserve">Zuteilungsverordnung 2020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Abweichend von § 9 Absatz 2 Nummer 1 berechnet sich die vorläufige jährliche Anzahl der einem Zuteilungselement für die Herstellung von Vinylchlorid-Monomer zuzuteilenden Berechtigungen nach Anhang 1 Teil 2. Bei diesen Zuteilungselementen muss der Zuteilungsantrag ergänzend zu den sonstigen Bestimmungen dieser Verordnung Angaben enthalten über den Wasserstoff, der für die Herstellung von Vinylchlorid-Monomer als Brennstoff verwendet wurde.</w:t>
      </w:r>
    </w:p>
    <w:p>
      <w:r>
        <w:rPr>
          <w:color w:val="555555"/>
          <w:sz w:val="17"/>
        </w:rPr>
        <w:t xml:space="preserve">Zitiervorschlag: § 13 ZuV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https://recht.nulegal.eu/gesetze/ZuV%202020/13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