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ZuV 2020 — Anwendungsbereich und Zweck</w:t>
      </w:r>
    </w:p>
    <w:p>
      <w:r>
        <w:rPr>
          <w:color w:val="555555"/>
          <w:sz w:val="18"/>
        </w:rPr>
        <w:t xml:space="preserve">Zuteilungsverordnung 2020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im Anwendungsbereich des Treibhausgas-Emissionshandelsgesetzes. Sie dient</w:t>
      </w:r>
    </w:p>
    <w:p>
      <w:pPr>
        <w:ind w:left="420"/>
      </w:pPr>
      <w:r>
        <w:t xml:space="preserve">1. der nationalen Umsetzung des Beschlusses 2011/278/EU der Kommission vom 27. April 2011 zur Festlegung EU-weiter Übergangsvorschriften zur Harmonisierung der kostenlosen Zuteilung von Emissionszertifikaten gemäß Artikel 10a der Richtlinie 2003/87/EG des Europäischen Parlaments und des Rates (ABl. L 130 vom 17.5.2011, S. 1) sowie der Festlegung der Angaben, die im Zuteilungsverfahren nach § 9 des Treibhausgas-Emissionshandelsgesetzes zu fordern sind, und</w:t>
      </w:r>
    </w:p>
    <w:p>
      <w:pPr>
        <w:ind w:left="420"/>
      </w:pPr>
      <w:r>
        <w:t xml:space="preserve">2. der Konkretisierung der Anforderungen nach den §§ 8, 24 und 27 des Treibhausgas-Emissionshandelsgesetzes.</w:t>
      </w:r>
    </w:p>
    <w:p>
      <w:r>
        <w:rPr>
          <w:color w:val="555555"/>
          <w:sz w:val="17"/>
        </w:rPr>
        <w:t xml:space="preserve">Zitiervorschlag: § 1 ZuV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https://recht.nulegal.eu/gesetze/ZuV%202020/1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