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ZuV 2012 — Nutzung einheitlicher Stoffwerte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Anlagen, die eine Zuteilung nach § 6 des Zuteilungsgesetzes 2012 erhalten, erfolgt die Ermittlung der Zuteilungsmenge für diejenigen Brennstoffe, Rohstoffe und Produkte, für die in Anhang 1 einheitliche Emissionsfaktoren, untere Heizwerte und Kohlenstoffgehalte festgelegt sind, auf Grundlage dieser Werte.</w:t>
      </w:r>
    </w:p>
    <w:p>
      <w:r>
        <w:t xml:space="preserve">(2) Bei Verbrennungsprozessen ist ein Oxidationsfaktor von eins zugrunde zu legen.</w:t>
      </w:r>
    </w:p>
    <w:p>
      <w:r>
        <w:rPr>
          <w:color w:val="555555"/>
          <w:sz w:val="17"/>
        </w:rPr>
        <w:t xml:space="preserve">Zitiervorschlag: § 4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