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ZuV 2012 — Allgemeine Anforderungen an die Zuteilungsanträge</w:t>
      </w:r>
    </w:p>
    <w:p>
      <w:r>
        <w:rPr>
          <w:color w:val="555555"/>
          <w:sz w:val="18"/>
        </w:rPr>
        <w:t xml:space="preserve">Zuteilungsverordnung 2012</w:t>
      </w:r>
    </w:p>
    <w:p>
      <w:r>
        <w:rPr>
          <w:color w:val="555555"/>
          <w:sz w:val="18"/>
        </w:rPr>
        <w:t xml:space="preserve">Stand: 10.06.2019 (konsolidierte Textfassung, kein amtliches Inkrafttretensdatum)</w:t>
      </w:r>
    </w:p>
    <w:p>
      <w:r>
        <w:t xml:space="preserve">(1) Soweit die Vorschriften der Abschnitte 2 und 3 keine abweichenden Regelungen enthalten, sind die für die Zuteilung von Emissionsberechtigungen im Zuteilungsantrag nach § 10 Abs. 1 des Treibhausgas-Emissionshandelsgesetzes vom 8. Juli 2004 (BGBl. I S. 1578), das zuletzt durch Artikel 9 des Gesetzes vom 11. August 2010 (BGBl. I S. 1163) geändert worden ist, anzugebenden Daten und Informationen, im Einklang mit der Entscheidung 2004/156/EG der Kommission vom 29. Januar 2004 zur Festlegung von Leitlinien für Überwachung und Berichterstattung betreffend Treibhausgasemissionen gemäß der Richtlinie 2003/87/EG des Europäischen Parlaments und des Rates (ABl. EU Nr. L 59 S. 1, Nr. L 177 S. 4) zu erheben und anzugeben. Soweit die Anforderungen der in Satz 1 genannten Leitlinien nicht eingehalten werden können, sind die Daten und Informationen mit dem im Einzelfall höchsten erreichbaren Grad an Genauigkeit und Vollständigkeit zu erheben und anzugeben.</w:t>
      </w:r>
    </w:p>
    <w:p>
      <w:r>
        <w:t xml:space="preserve">(2) Der Antragsteller ist verpflichtet, die nach § 6 Abs. 5 Satz 2, § 7 Abs. 2, § 8 Abs. 3, § 9 Abs. 2, § 11 Abs. 2 bis 4, § 12 Abs. 1 und 2, § 13, § 14, § 15, § 16 Abs. 2 und 3, § 17 und § 19 Abs. 1 erforderlichen Angaben in den Zuteilungsanträgen zu machen. Soweit diese Angaben die vorherige Durchführung von Berechnungen voraussetzen, ist neben den geforderten Angaben jeweils auch die angewandte Berechnungsmethode zu erläutern und die Ableitung der Angaben nachvollziehbar darzustellen. Der Betreiber ist verpflichtet, die den Angaben zugrunde liegenden Einzelnachweise auf Verlangen der zuständigen Behörde vorzuweisen.</w:t>
      </w:r>
    </w:p>
    <w:p>
      <w:r>
        <w:rPr>
          <w:color w:val="555555"/>
          <w:sz w:val="17"/>
        </w:rPr>
        <w:t xml:space="preserve">Zitiervorschlag: § 3 ZuV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https://recht.nulegal.eu/gesetze/ZuV%202012/3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