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ZuV 2012 — Kuppelgas</w:t>
      </w:r>
    </w:p>
    <w:p>
      <w:r>
        <w:rPr>
          <w:color w:val="555555"/>
          <w:sz w:val="18"/>
        </w:rPr>
        <w:t xml:space="preserve">Zuteilungsverordnung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Zuteilung von Berechtigungen an Kuppelgas erzeugende Anlagen im Sinne von § 11 Abs. 2 des Zuteilungsgesetzes 2012 muss der Zuteilungsantrag ergänzend zu den Angaben nach Abschnitt 2 Angaben enthalten über die durchschnittlichen jährlichen Kohlendioxid-Emissionen aus den Kuppelgasmengen, die an Anlagen weitergeleitet wurden, die nicht dem Anwendungsbereich des Treibhausgas-Emissionshandelsgesetzes vom 8. Juli 2004 (BGBl. I S. 1578), das zuletzt durch Artikel 9 des Gesetzes vom 11. August 2010 (BGBl. I S. 1163) geändert worden ist, unterliegen.</w:t>
      </w:r>
    </w:p>
    <w:p>
      <w:r>
        <w:t xml:space="preserve">(2) Die Emissionsmenge von Anlagen im Sinne von § 11 Abs. 2 des Zuteilungsgesetzes 2012, für die Berechtigungen zuzuteilen sind, errechnet sich nach den Formeln 1 und 2 des Anhangs 4.</w:t>
      </w:r>
    </w:p>
    <w:p>
      <w:r>
        <w:t xml:space="preserve">(3) Die für die Zuteilung von Berechtigungen maßgebliche Produktionsmenge von Anlagen im Sinne von § 11 Abs. 3 des Zuteilungsgesetzes 2012 berechnet sich nach Formel 3 des Anhangs 4.</w:t>
      </w:r>
    </w:p>
    <w:p>
      <w:r>
        <w:t xml:space="preserve">(4) Bei der Bestimmung des Emissionswertes für die Zuteilung von Berechtigungen an Anlagen im Sinne von § 11 Abs. 4 des Zuteilungsgesetzes 2012 bleiben die Kohlendioxid-Emissionen aus Kuppelgasen unberücksichtigt, die an Anlagen weitergeleitet wurden, die nicht dem Anwendungsbereich des Treibhausgas-Emissionshandelsgesetzes vom 8. Juli 2004 (BGBl. I S. 1578), das zuletzt durch Artikel 9 des Gesetzes vom 11. August 2010 (BGBl. I S. 1163) geändert worden ist, unterliegen.</w:t>
      </w:r>
    </w:p>
    <w:p>
      <w:r>
        <w:rPr>
          <w:color w:val="555555"/>
          <w:sz w:val="17"/>
        </w:rPr>
        <w:t xml:space="preserve">Zitiervorschlag: § 19 ZuV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https://recht.nulegal.eu/gesetze/ZuV%202012/19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