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ZuV 2012 — Bestimmung des Effizienzstandards</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Der Zuteilungsantrag muss bei Anlagen nach Anhang 1 Nr. I bis V des Treibhausgas-Emissionshandelsgesetzes vom 8. Juli 2004 (BGBl. I S. 1578), das zuletzt durch Artikel 9 des Gesetzes vom 11. August 2010 (BGBl. I S. 1163) geändert worden ist, im Fall der Inbetriebnahme im Jahr 2005 Angaben enthalten über die Produktionsmenge des Jahres 2006 sowie für Anlagen mit Inbetriebnahme ab dem 1. Januar 2006 Angaben über die prognostizierten Produktionsmengen und Emissionen für das nach Anhang 5 Nr. 3 des Zuteilungsgesetzes 2012 maßgebliche Referenzjahr.</w:t>
      </w:r>
    </w:p>
    <w:p>
      <w:r>
        <w:t xml:space="preserve">(2) Die Produktstandards für gasförmige Brennstoffe nach Anhang 5 Nr. 2 des Zuteilungsgesetzes 2012 gelten nicht für die Verwendung von Synthesegas aus Kohlevergasung.</w:t>
      </w:r>
    </w:p>
    <w:p>
      <w:r>
        <w:rPr>
          <w:color w:val="555555"/>
          <w:sz w:val="17"/>
        </w:rPr>
        <w:t xml:space="preserve">Zitiervorschlag: § 17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